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294" w:rsidRPr="00621BF1" w:rsidRDefault="000372BD" w:rsidP="00334291">
      <w:r>
        <w:rPr>
          <w:noProof/>
          <w:lang w:eastAsia="fr-FR"/>
        </w:rPr>
        <mc:AlternateContent>
          <mc:Choice Requires="wpg">
            <w:drawing>
              <wp:anchor distT="0" distB="0" distL="114300" distR="114300" simplePos="0" relativeHeight="251686400" behindDoc="0" locked="0" layoutInCell="1" allowOverlap="1">
                <wp:simplePos x="0" y="0"/>
                <wp:positionH relativeFrom="page">
                  <wp:align>left</wp:align>
                </wp:positionH>
                <wp:positionV relativeFrom="paragraph">
                  <wp:posOffset>-596265</wp:posOffset>
                </wp:positionV>
                <wp:extent cx="6381750" cy="9429750"/>
                <wp:effectExtent l="0" t="0" r="0" b="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9429750"/>
                          <a:chOff x="0" y="0"/>
                          <a:chExt cx="6381750" cy="9429750"/>
                        </a:xfrm>
                      </wpg:grpSpPr>
                      <wpg:grpSp>
                        <wpg:cNvPr id="4" name="Groupe 4"/>
                        <wpg:cNvGrpSpPr/>
                        <wpg:grpSpPr>
                          <a:xfrm>
                            <a:off x="5686425" y="0"/>
                            <a:ext cx="695325" cy="9248140"/>
                            <a:chOff x="9525" y="-4600"/>
                            <a:chExt cx="695325" cy="8966752"/>
                          </a:xfrm>
                        </wpg:grpSpPr>
                        <wps:wsp>
                          <wps:cNvPr id="19" name="Rectangle 14"/>
                          <wps:cNvSpPr>
                            <a:spLocks noChangeArrowheads="1"/>
                          </wps:cNvSpPr>
                          <wps:spPr bwMode="auto">
                            <a:xfrm>
                              <a:off x="466725" y="-4600"/>
                              <a:ext cx="238125" cy="89667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Rectangle 14"/>
                          <wps:cNvSpPr>
                            <a:spLocks noChangeArrowheads="1"/>
                          </wps:cNvSpPr>
                          <wps:spPr bwMode="auto">
                            <a:xfrm>
                              <a:off x="228600" y="180104"/>
                              <a:ext cx="238125" cy="8597960"/>
                            </a:xfrm>
                            <a:prstGeom prst="rect">
                              <a:avLst/>
                            </a:prstGeom>
                            <a:solidFill>
                              <a:srgbClr val="FFFF00"/>
                            </a:solidFill>
                            <a:ln>
                              <a:noFill/>
                            </a:ln>
                            <a:extLst/>
                          </wps:spPr>
                          <wps:bodyPr rot="0" vert="horz" wrap="square" lIns="91440" tIns="45720" rIns="91440" bIns="45720" anchor="t" anchorCtr="0" upright="1">
                            <a:noAutofit/>
                          </wps:bodyPr>
                        </wps:wsp>
                        <wps:wsp>
                          <wps:cNvPr id="3" name="Rectangle 14"/>
                          <wps:cNvSpPr>
                            <a:spLocks noChangeArrowheads="1"/>
                          </wps:cNvSpPr>
                          <wps:spPr bwMode="auto">
                            <a:xfrm>
                              <a:off x="9525" y="152400"/>
                              <a:ext cx="238125" cy="8518524"/>
                            </a:xfrm>
                            <a:prstGeom prst="rect">
                              <a:avLst/>
                            </a:prstGeom>
                            <a:solidFill>
                              <a:srgbClr val="00B050"/>
                            </a:solidFill>
                            <a:ln>
                              <a:noFill/>
                            </a:ln>
                            <a:extLst/>
                          </wps:spPr>
                          <wps:bodyPr rot="0" vert="horz" wrap="square" lIns="91440" tIns="45720" rIns="91440" bIns="45720" anchor="t" anchorCtr="0" upright="1">
                            <a:noAutofit/>
                          </wps:bodyPr>
                        </wps:wsp>
                      </wpg:grpSp>
                      <wpg:grpSp>
                        <wpg:cNvPr id="7" name="Groupe 7"/>
                        <wpg:cNvGrpSpPr/>
                        <wpg:grpSpPr>
                          <a:xfrm>
                            <a:off x="47625" y="8867775"/>
                            <a:ext cx="6334125" cy="561975"/>
                            <a:chOff x="0" y="0"/>
                            <a:chExt cx="6334125" cy="561975"/>
                          </a:xfrm>
                        </wpg:grpSpPr>
                        <wps:wsp>
                          <wps:cNvPr id="18" name="Rectangle 12"/>
                          <wps:cNvSpPr>
                            <a:spLocks noChangeArrowheads="1"/>
                          </wps:cNvSpPr>
                          <wps:spPr bwMode="auto">
                            <a:xfrm>
                              <a:off x="0" y="381000"/>
                              <a:ext cx="6334125" cy="1809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2"/>
                          <wps:cNvSpPr>
                            <a:spLocks noChangeArrowheads="1"/>
                          </wps:cNvSpPr>
                          <wps:spPr bwMode="auto">
                            <a:xfrm>
                              <a:off x="438150" y="0"/>
                              <a:ext cx="5438775" cy="190500"/>
                            </a:xfrm>
                            <a:prstGeom prst="rect">
                              <a:avLst/>
                            </a:prstGeom>
                            <a:solidFill>
                              <a:srgbClr val="00B050"/>
                            </a:solidFill>
                            <a:ln>
                              <a:noFill/>
                            </a:ln>
                            <a:extLst/>
                          </wps:spPr>
                          <wps:bodyPr rot="0" vert="horz" wrap="square" lIns="91440" tIns="45720" rIns="91440" bIns="45720" anchor="t" anchorCtr="0" upright="1">
                            <a:noAutofit/>
                          </wps:bodyPr>
                        </wps:wsp>
                        <wps:wsp>
                          <wps:cNvPr id="5" name="Rectangle 12"/>
                          <wps:cNvSpPr>
                            <a:spLocks noChangeArrowheads="1"/>
                          </wps:cNvSpPr>
                          <wps:spPr bwMode="auto">
                            <a:xfrm>
                              <a:off x="190500" y="190500"/>
                              <a:ext cx="5905500" cy="200025"/>
                            </a:xfrm>
                            <a:prstGeom prst="rect">
                              <a:avLst/>
                            </a:prstGeom>
                            <a:solidFill>
                              <a:srgbClr val="FFFF00"/>
                            </a:solidFill>
                            <a:ln>
                              <a:noFill/>
                            </a:ln>
                            <a:extLst/>
                          </wps:spPr>
                          <wps:bodyPr rot="0" vert="horz" wrap="square" lIns="91440" tIns="45720" rIns="91440" bIns="45720" anchor="t" anchorCtr="0" upright="1">
                            <a:noAutofit/>
                          </wps:bodyPr>
                        </wps:wsp>
                      </wpg:grpSp>
                      <wpg:grpSp>
                        <wpg:cNvPr id="16" name="Groupe 16"/>
                        <wpg:cNvGrpSpPr/>
                        <wpg:grpSpPr>
                          <a:xfrm>
                            <a:off x="0" y="28575"/>
                            <a:ext cx="714375" cy="9401175"/>
                            <a:chOff x="0" y="0"/>
                            <a:chExt cx="714375" cy="9401175"/>
                          </a:xfrm>
                        </wpg:grpSpPr>
                        <wps:wsp>
                          <wps:cNvPr id="9" name="Rectangle 14"/>
                          <wps:cNvSpPr>
                            <a:spLocks noChangeArrowheads="1"/>
                          </wps:cNvSpPr>
                          <wps:spPr bwMode="auto">
                            <a:xfrm>
                              <a:off x="0" y="0"/>
                              <a:ext cx="238125" cy="94011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4"/>
                          <wps:cNvSpPr>
                            <a:spLocks noChangeArrowheads="1"/>
                          </wps:cNvSpPr>
                          <wps:spPr bwMode="auto">
                            <a:xfrm>
                              <a:off x="238125" y="352425"/>
                              <a:ext cx="238125" cy="8686800"/>
                            </a:xfrm>
                            <a:prstGeom prst="rect">
                              <a:avLst/>
                            </a:prstGeom>
                            <a:solidFill>
                              <a:srgbClr val="FFFF00"/>
                            </a:solidFill>
                            <a:ln>
                              <a:noFill/>
                            </a:ln>
                            <a:extLst/>
                          </wps:spPr>
                          <wps:txbx>
                            <w:txbxContent>
                              <w:p w:rsidR="00813A59" w:rsidRDefault="00813A59" w:rsidP="003B3C7F">
                                <w:pPr>
                                  <w:jc w:val="center"/>
                                </w:pPr>
                              </w:p>
                              <w:p w:rsidR="00813A59" w:rsidRDefault="00813A59" w:rsidP="003B3C7F">
                                <w:pPr>
                                  <w:jc w:val="center"/>
                                </w:pPr>
                              </w:p>
                            </w:txbxContent>
                          </wps:txbx>
                          <wps:bodyPr rot="0" vert="horz" wrap="square" lIns="91440" tIns="45720" rIns="91440" bIns="45720" anchor="t" anchorCtr="0" upright="1">
                            <a:noAutofit/>
                          </wps:bodyPr>
                        </wps:wsp>
                        <wps:wsp>
                          <wps:cNvPr id="11" name="Rectangle 14"/>
                          <wps:cNvSpPr>
                            <a:spLocks noChangeArrowheads="1"/>
                          </wps:cNvSpPr>
                          <wps:spPr bwMode="auto">
                            <a:xfrm>
                              <a:off x="476250" y="447675"/>
                              <a:ext cx="238125" cy="8517890"/>
                            </a:xfrm>
                            <a:prstGeom prst="rect">
                              <a:avLst/>
                            </a:prstGeom>
                            <a:solidFill>
                              <a:srgbClr val="00B050"/>
                            </a:solidFill>
                            <a:ln>
                              <a:noFill/>
                            </a:ln>
                            <a:extLst/>
                          </wps:spPr>
                          <wps:bodyPr rot="0" vert="horz" wrap="square" lIns="91440" tIns="45720" rIns="91440" bIns="45720" anchor="t" anchorCtr="0" upright="1">
                            <a:noAutofit/>
                          </wps:bodyPr>
                        </wps:wsp>
                      </wpg:grpSp>
                      <wpg:grpSp>
                        <wpg:cNvPr id="8" name="Groupe 8"/>
                        <wpg:cNvGrpSpPr/>
                        <wpg:grpSpPr>
                          <a:xfrm rot="10800000">
                            <a:off x="0" y="0"/>
                            <a:ext cx="6362700" cy="571500"/>
                            <a:chOff x="0" y="0"/>
                            <a:chExt cx="6362700" cy="571500"/>
                          </a:xfrm>
                        </wpg:grpSpPr>
                        <wps:wsp>
                          <wps:cNvPr id="12" name="Rectangle 12"/>
                          <wps:cNvSpPr>
                            <a:spLocks noChangeArrowheads="1"/>
                          </wps:cNvSpPr>
                          <wps:spPr bwMode="auto">
                            <a:xfrm>
                              <a:off x="0" y="390525"/>
                              <a:ext cx="6362700" cy="1809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2"/>
                          <wps:cNvSpPr>
                            <a:spLocks noChangeArrowheads="1"/>
                          </wps:cNvSpPr>
                          <wps:spPr bwMode="auto">
                            <a:xfrm>
                              <a:off x="447675" y="0"/>
                              <a:ext cx="5438775" cy="190500"/>
                            </a:xfrm>
                            <a:prstGeom prst="rect">
                              <a:avLst/>
                            </a:prstGeom>
                            <a:solidFill>
                              <a:srgbClr val="00B050"/>
                            </a:solidFill>
                            <a:ln>
                              <a:noFill/>
                            </a:ln>
                            <a:extLst/>
                          </wps:spPr>
                          <wps:bodyPr rot="0" vert="horz" wrap="square" lIns="91440" tIns="45720" rIns="91440" bIns="45720" anchor="t" anchorCtr="0" upright="1">
                            <a:noAutofit/>
                          </wps:bodyPr>
                        </wps:wsp>
                        <wps:wsp>
                          <wps:cNvPr id="14" name="Rectangle 12"/>
                          <wps:cNvSpPr>
                            <a:spLocks noChangeArrowheads="1"/>
                          </wps:cNvSpPr>
                          <wps:spPr bwMode="auto">
                            <a:xfrm>
                              <a:off x="219075" y="190500"/>
                              <a:ext cx="5905500" cy="200025"/>
                            </a:xfrm>
                            <a:prstGeom prst="rect">
                              <a:avLst/>
                            </a:prstGeom>
                            <a:solidFill>
                              <a:srgbClr val="FFFF00"/>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e 17" o:spid="_x0000_s1026" style="position:absolute;margin-left:0;margin-top:-46.95pt;width:502.5pt;height:742.5pt;z-index:251686400;mso-position-horizontal:left;mso-position-horizontal-relative:page" coordsize="63817,9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">
                <v:group id="Groupe 4" o:spid="_x0000_s1027" style="position:absolute;left:56864;width:6953;height:92481" coordorigin="95,-46" coordsize="6953,89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4" o:spid="_x0000_s1028" style="position:absolute;left:4667;top:-46;width:2381;height:89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brMIA&#10;AADbAAAADwAAAGRycy9kb3ducmV2LnhtbESPQYvCMBCF74L/IYzgTVNFVrdrFBEEr1YPu7cxmW3L&#10;NpPSxNr6682C4G2G9+Z9b9bbzlaipcaXjhXMpgkIYu1MybmCy/kwWYHwAdlg5ZgU9ORhuxkO1pga&#10;d+cTtVnIRQxhn6KCIoQ6ldLrgiz6qauJo/brGoshrk0uTYP3GG4rOU+SD2mx5EgosKZ9Qfovu1kF&#10;P8tLddLlY5f33wsdIf01a3ulxqNu9wUiUBfe5tf10cT6n/D/Sx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huswgAAANsAAAAPAAAAAAAAAAAAAAAAAJgCAABkcnMvZG93&#10;bnJldi54bWxQSwUGAAAAAAQABAD1AAAAhwMAAAAA&#10;" fillcolor="red" stroked="f"/>
                  <v:rect id="Rectangle 14" o:spid="_x0000_s1029" style="position:absolute;left:2286;top:1801;width:2381;height:85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oysAA&#10;AADaAAAADwAAAGRycy9kb3ducmV2LnhtbERPTWvCQBC9F/wPywi96caCRaKrqKXFY4zSehyy02xq&#10;djbNbk3677sBoafh8T5nteltLW7U+sqxgtk0AUFcOF1xqeB8ep0sQPiArLF2TAp+ycNmPXpYYapd&#10;x0e65aEUMYR9igpMCE0qpS8MWfRT1xBH7tO1FkOEbSl1i10Mt7V8SpJnabHi2GCwob2h4pr/WAWX&#10;7ON9Z2xG/Xzu374P9sXNki+lHsf9dgkiUB/+xXf3Qcf5MLwyX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5oysAAAADaAAAADwAAAAAAAAAAAAAAAACYAgAAZHJzL2Rvd25y&#10;ZXYueG1sUEsFBgAAAAAEAAQA9QAAAIUDAAAAAA==&#10;" fillcolor="yellow" stroked="f"/>
                  <v:rect id="Rectangle 14" o:spid="_x0000_s1030" style="position:absolute;left:95;top:1524;width:2381;height:85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KfcMA&#10;AADaAAAADwAAAGRycy9kb3ducmV2LnhtbESPQWvCQBSE70L/w/IKXqRuVJA2dZUiCOLBatreH9nX&#10;JDT7Ns2+aPTXdwWhx2FmvmEWq97V6kRtqDwbmIwTUMS5txUXBj4/Nk/PoIIgW6w9k4ELBVgtHwYL&#10;TK0/85FOmRQqQjikaKAUaVKtQ16SwzD2DXH0vn3rUKJsC21bPEe4q/U0SebaYcVxocSG1iXlP1nn&#10;DDj5fZHqkF/fr/vJV3fcjfo9dsYMH/u3V1BCvfyH7+2tNTCD25V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9KfcMAAADaAAAADwAAAAAAAAAAAAAAAACYAgAAZHJzL2Rv&#10;d25yZXYueG1sUEsFBgAAAAAEAAQA9QAAAIgDAAAAAA==&#10;" fillcolor="#00b050" stroked="f"/>
                </v:group>
                <v:group id="Groupe 7" o:spid="_x0000_s1031" style="position:absolute;left:476;top:88677;width:63341;height:5620" coordsize="63341,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12" o:spid="_x0000_s1032" style="position:absolute;top:3810;width:63341;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N8EA&#10;AADbAAAADwAAAGRycy9kb3ducmV2LnhtbESPTWvCQBCG7wX/wzKCt7qxSCvRVUQo9GrqQW/j7pgE&#10;s7Mhu41Jf33nUPA2w7wfz2x2g29UT12sAxtYzDNQxDa4mksDp+/P1xWomJAdNoHJwEgRdtvJywZz&#10;Fx58pL5IpZIQjjkaqFJqc62jrchjnIeWWG630HlMsnaldh0+JNw3+i3L3rXHmqWhwpYOFdl78eMN&#10;XD5OzdHWv/tyPC+tlIzXoh+NmU2H/RpUoiE9xf/uLyf4Aiu/yAB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CvjfBAAAA2wAAAA8AAAAAAAAAAAAAAAAAmAIAAGRycy9kb3du&#10;cmV2LnhtbFBLBQYAAAAABAAEAPUAAACGAwAAAAA=&#10;" fillcolor="red" stroked="f"/>
                  <v:rect id="Rectangle 12" o:spid="_x0000_s1033" style="position:absolute;left:4381;width:5438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p5cMA&#10;AADaAAAADwAAAGRycy9kb3ducmV2LnhtbESPQWvCQBSE74L/YXlCL6IbexCNriJCofRgq9X7I/tM&#10;gtm3Mfuiqb++WxB6HGbmG2a57lylbtSE0rOByTgBRZx5W3Ju4Pj9NpqBCoJssfJMBn4owHrV7y0x&#10;tf7Oe7odJFcRwiFFA4VInWodsoIchrGviaN39o1DibLJtW3wHuGu0q9JMtUOS44LBda0LSi7HFpn&#10;wMl1LuVX9vh87Candv8x7HbYGvMy6DYLUEKd/Ief7XdrYAp/V+IN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jp5cMAAADaAAAADwAAAAAAAAAAAAAAAACYAgAAZHJzL2Rv&#10;d25yZXYueG1sUEsFBgAAAAAEAAQA9QAAAIgDAAAAAA==&#10;" fillcolor="#00b050" stroked="f"/>
                  <v:rect id="Rectangle 12" o:spid="_x0000_s1034" style="position:absolute;left:1905;top:1905;width:5905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uycIA&#10;AADaAAAADwAAAGRycy9kb3ducmV2LnhtbESPQWvCQBSE7wX/w/IEb2ZjISKpa6gtLTlaLa3HR/aZ&#10;Tc2+TbOrxn/fFYQeh5n5hlkWg23FmXrfOFYwS1IQxJXTDdcKPndv0wUIH5A1to5JwZU8FKvRwxJz&#10;7S78QedtqEWEsM9RgQmhy6X0lSGLPnEdcfQOrrcYouxrqXu8RLht5WOazqXFhuOCwY5eDFXH7ckq&#10;2G++v9bGbmjIMv/+W9pXN0t/lJqMh+cnEIGG8B++t0utIIPblX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W7JwgAAANoAAAAPAAAAAAAAAAAAAAAAAJgCAABkcnMvZG93&#10;bnJldi54bWxQSwUGAAAAAAQABAD1AAAAhwMAAAAA&#10;" fillcolor="yellow" stroked="f"/>
                </v:group>
                <v:group id="Groupe 16" o:spid="_x0000_s1035" style="position:absolute;top:285;width:7143;height:94012" coordsize="7143,94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4" o:spid="_x0000_s1036" style="position:absolute;width:2381;height:9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a6cAA&#10;AADaAAAADwAAAGRycy9kb3ducmV2LnhtbESPzYrCMBSF94LvEK7gTlNFRqdjFBEEt1YXM7trcqct&#10;09yUJtbWpzcDgsvD+fk4621nK9FS40vHCmbTBASxdqbkXMHlfJisQPiAbLByTAp68rDdDAdrTI27&#10;84naLOQijrBPUUERQp1K6XVBFv3U1cTR+3WNxRBlk0vT4D2O20rOk+RDWiw5EgqsaV+Q/stuVsHP&#10;8lKddPnY5f33QkdIf83aXqnxqNt9gQjUhXf41T4aBZ/wfyXe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ba6cAAAADaAAAADwAAAAAAAAAAAAAAAACYAgAAZHJzL2Rvd25y&#10;ZXYueG1sUEsFBgAAAAAEAAQA9QAAAIUDAAAAAA==&#10;" fillcolor="red" stroked="f"/>
                  <v:rect id="Rectangle 14" o:spid="_x0000_s1037" style="position:absolute;left:2381;top:3524;width:2381;height:86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OHcMA&#10;AADbAAAADwAAAGRycy9kb3ducmV2LnhtbESPT2/CMAzF70j7DpEncVtTJoGmQkD7IxBHxqaNo9WY&#10;pqxxShOgfHt8mMTN1nt+7+fZoveNOlMX68AGRlkOirgMtubKwPfX8ukFVEzIFpvAZOBKERbzh8EM&#10;Cxsu/EnnbaqUhHAs0IBLqS20jqUjjzELLbFo+9B5TLJ2lbYdXiTcN/o5zyfaY83S4LCld0fl3/bk&#10;Dew2vz9vzm+oH4/j6rj2H2GUH4wZPvavU1CJ+nQ3/1+vreALvfwiA+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ROHcMAAADbAAAADwAAAAAAAAAAAAAAAACYAgAAZHJzL2Rv&#10;d25yZXYueG1sUEsFBgAAAAAEAAQA9QAAAIgDAAAAAA==&#10;" fillcolor="yellow" stroked="f">
                    <v:textbox>
                      <w:txbxContent>
                        <w:p w:rsidR="004A3175" w:rsidRDefault="004A3175" w:rsidP="003B3C7F">
                          <w:pPr>
                            <w:jc w:val="center"/>
                          </w:pPr>
                        </w:p>
                        <w:p w:rsidR="004A3175" w:rsidRDefault="004A3175" w:rsidP="003B3C7F">
                          <w:pPr>
                            <w:jc w:val="center"/>
                          </w:pPr>
                        </w:p>
                      </w:txbxContent>
                    </v:textbox>
                  </v:rect>
                  <v:rect id="Rectangle 14" o:spid="_x0000_s1038" style="position:absolute;left:4762;top:4476;width:2381;height:8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8SsEA&#10;AADbAAAADwAAAGRycy9kb3ducmV2LnhtbERPS2vCQBC+F/wPywheim7iodToKiIUSg+2vu5DdkyC&#10;2dk0O9HUX98tFLzNx/ecxap3tbpSGyrPBtJJAoo497biwsDx8DZ+BRUE2WLtmQz8UIDVcvC0wMz6&#10;G+/oupdCxRAOGRooRZpM65CX5DBMfEMcubNvHUqEbaFti7cY7mo9TZIX7bDi2FBiQ5uS8su+cwac&#10;fM+k+srvn/dteup2H8/9FjtjRsN+PQcl1MtD/O9+t3F+Cn+/xA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2vErBAAAA2wAAAA8AAAAAAAAAAAAAAAAAmAIAAGRycy9kb3du&#10;cmV2LnhtbFBLBQYAAAAABAAEAPUAAACGAwAAAAA=&#10;" fillcolor="#00b050" stroked="f"/>
                </v:group>
                <v:group id="Groupe 8" o:spid="_x0000_s1039" style="position:absolute;width:63627;height:5715;rotation:180" coordsize="63627,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KRcL4AAADaAAAADwAAAGRycy9kb3ducmV2LnhtbERPTYvCMBC9C/sfwix4&#10;03RdlaVrFFmQ7UnQCl6HZmyqzaQkUeu/NwfB4+N9L1a9bcWNfGgcK/gaZyCIK6cbrhUcys3oB0SI&#10;yBpbx6TgQQFWy4/BAnPt7ryj2z7WIoVwyFGBibHLpQyVIYth7DrixJ2ctxgT9LXUHu8p3LZykmVz&#10;abHh1GCwoz9D1WV/tQr0NHwfqCjWfrI9l7Nm9m/q01Gp4We//gURqY9v8ctdaAVpa7qSboBcPgE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LmKRcL4AAADaAAAADwAAAAAA&#10;AAAAAAAAAACqAgAAZHJzL2Rvd25yZXYueG1sUEsFBgAAAAAEAAQA+gAAAJUDAAAAAA==&#10;">
                  <v:rect id="Rectangle 12" o:spid="_x0000_s1040" style="position:absolute;top:3905;width:6362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J3cEA&#10;AADbAAAADwAAAGRycy9kb3ducmV2LnhtbESPQYvCMBCF74L/IYzgTVNFXKlGEWHBq9XDehuTsS02&#10;k9Jka+uvN8LC3mZ4b973ZrPrbCVaanzpWMFsmoAg1s6UnCu4nL8nKxA+IBusHJOCnjzstsPBBlPj&#10;nnyiNgu5iCHsU1RQhFCnUnpdkEU/dTVx1O6usRji2uTSNPiM4baS8yRZSoslR0KBNR0K0o/s1yq4&#10;fl2qky5f+7z/WegI6W9Z2ys1HnX7NYhAXfg3/10fTaw/h88vcQC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id3BAAAA2wAAAA8AAAAAAAAAAAAAAAAAmAIAAGRycy9kb3du&#10;cmV2LnhtbFBLBQYAAAAABAAEAPUAAACGAwAAAAA=&#10;" fillcolor="red" stroked="f"/>
                  <v:rect id="Rectangle 12" o:spid="_x0000_s1041" style="position:absolute;left:4476;width:5438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HpsIA&#10;AADbAAAADwAAAGRycy9kb3ducmV2LnhtbERPS2vCQBC+F/wPywi9FN3YQtHoKlIolB60vu5DdkyC&#10;2dmYnWjqr3cLBW/z8T1ntuhcpS7UhNKzgdEwAUWceVtybmC/+xyMQQVBtlh5JgO/FGAx7z3NMLX+&#10;yhu6bCVXMYRDigYKkTrVOmQFOQxDXxNH7ugbhxJhk2vb4DWGu0q/Jsm7dlhybCiwpo+CstO2dQac&#10;nCdS/mS39W01OrSb75duha0xz/1uOQUl1MlD/O/+snH+G/z9E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IemwgAAANsAAAAPAAAAAAAAAAAAAAAAAJgCAABkcnMvZG93&#10;bnJldi54bWxQSwUGAAAAAAQABAD1AAAAhwMAAAAA&#10;" fillcolor="#00b050" stroked="f"/>
                  <v:rect id="Rectangle 12" o:spid="_x0000_s1042" style="position:absolute;left:2190;top:1905;width:5905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IHsEA&#10;AADbAAAADwAAAGRycy9kb3ducmV2LnhtbERPS2vCQBC+F/wPywi9NZuUWiR1DWqpePRF2+OQHbPR&#10;7GyaXTX9911B6G0+vudMit424kKdrx0ryJIUBHHpdM2Vgv3u42kMwgdkjY1jUvBLHorp4GGCuXZX&#10;3tBlGyoRQ9jnqMCE0OZS+tKQRZ+4ljhyB9dZDBF2ldQdXmO4beRzmr5KizXHBoMtLQyVp+3ZKvhe&#10;f33OjV1TPxr55c/KvrssPSr1OOxnbyAC9eFffHevdJz/Ardf4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SB7BAAAA2wAAAA8AAAAAAAAAAAAAAAAAmAIAAGRycy9kb3du&#10;cmV2LnhtbFBLBQYAAAAABAAEAPUAAACGAwAAAAA=&#10;" fillcolor="yellow" stroked="f"/>
                </v:group>
                <w10:wrap anchorx="page"/>
              </v:group>
            </w:pict>
          </mc:Fallback>
        </mc:AlternateContent>
      </w:r>
    </w:p>
    <w:p w:rsidR="00E60294" w:rsidRPr="00621BF1" w:rsidRDefault="00E60294" w:rsidP="00F46052">
      <w:pPr>
        <w:tabs>
          <w:tab w:val="left" w:pos="1920"/>
        </w:tabs>
        <w:spacing w:after="0" w:line="240" w:lineRule="auto"/>
        <w:jc w:val="center"/>
        <w:rPr>
          <w:b/>
          <w:sz w:val="32"/>
        </w:rPr>
      </w:pPr>
      <w:r w:rsidRPr="00621BF1">
        <w:rPr>
          <w:b/>
          <w:sz w:val="32"/>
        </w:rPr>
        <w:t>REPUBLIQUE DE GUINEE</w:t>
      </w:r>
    </w:p>
    <w:p w:rsidR="00F72E4C" w:rsidRPr="00621BF1" w:rsidRDefault="00F72E4C" w:rsidP="00F46052">
      <w:pPr>
        <w:tabs>
          <w:tab w:val="left" w:pos="1920"/>
        </w:tabs>
        <w:spacing w:after="0" w:line="240" w:lineRule="auto"/>
        <w:jc w:val="center"/>
        <w:rPr>
          <w:b/>
          <w:sz w:val="24"/>
        </w:rPr>
      </w:pPr>
    </w:p>
    <w:p w:rsidR="00E60294" w:rsidRPr="00621BF1" w:rsidRDefault="002A5AFB" w:rsidP="00E60294">
      <w:r w:rsidRPr="00621BF1">
        <w:rPr>
          <w:rFonts w:cs="Arial"/>
          <w:noProof/>
          <w:lang w:eastAsia="fr-FR"/>
        </w:rPr>
        <w:drawing>
          <wp:anchor distT="0" distB="0" distL="114300" distR="114300" simplePos="0" relativeHeight="251708928" behindDoc="0" locked="0" layoutInCell="1" allowOverlap="1">
            <wp:simplePos x="0" y="0"/>
            <wp:positionH relativeFrom="column">
              <wp:posOffset>3878712</wp:posOffset>
            </wp:positionH>
            <wp:positionV relativeFrom="paragraph">
              <wp:posOffset>204122</wp:posOffset>
            </wp:positionV>
            <wp:extent cx="1123950" cy="762000"/>
            <wp:effectExtent l="0" t="0" r="0" b="0"/>
            <wp:wrapSquare wrapText="bothSides"/>
            <wp:docPr id="6270" name="Picture 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sidR="00F72E4C" w:rsidRPr="00621BF1" w:rsidDel="00F72E4C">
        <w:rPr>
          <w:sz w:val="24"/>
        </w:rPr>
        <w:t xml:space="preserve"> </w:t>
      </w:r>
    </w:p>
    <w:p w:rsidR="00E60294" w:rsidRPr="00621BF1" w:rsidRDefault="00553399" w:rsidP="00E60294">
      <w:r w:rsidRPr="00621BF1">
        <w:rPr>
          <w:rFonts w:cs="Arial"/>
          <w:noProof/>
          <w:lang w:eastAsia="fr-FR"/>
        </w:rPr>
        <w:drawing>
          <wp:anchor distT="0" distB="0" distL="114300" distR="114300" simplePos="0" relativeHeight="251709952" behindDoc="0" locked="0" layoutInCell="1" allowOverlap="1">
            <wp:simplePos x="0" y="0"/>
            <wp:positionH relativeFrom="column">
              <wp:posOffset>1485050</wp:posOffset>
            </wp:positionH>
            <wp:positionV relativeFrom="paragraph">
              <wp:posOffset>9298</wp:posOffset>
            </wp:positionV>
            <wp:extent cx="967872" cy="858302"/>
            <wp:effectExtent l="0" t="0" r="3810" b="0"/>
            <wp:wrapSquare wrapText="bothSides"/>
            <wp:docPr id="6236" name="Picture 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872" cy="858302"/>
                    </a:xfrm>
                    <a:prstGeom prst="rect">
                      <a:avLst/>
                    </a:prstGeom>
                    <a:solidFill>
                      <a:srgbClr val="FFFFFF"/>
                    </a:solidFill>
                    <a:ln>
                      <a:noFill/>
                    </a:ln>
                  </pic:spPr>
                </pic:pic>
              </a:graphicData>
            </a:graphic>
          </wp:anchor>
        </w:drawing>
      </w:r>
    </w:p>
    <w:p w:rsidR="00F97A25" w:rsidRPr="00621BF1" w:rsidRDefault="00F97A25" w:rsidP="00E60294"/>
    <w:p w:rsidR="00F97A25" w:rsidRPr="00621BF1" w:rsidRDefault="00F97A25" w:rsidP="00E60294"/>
    <w:p w:rsidR="00D4208B" w:rsidRPr="00621BF1" w:rsidRDefault="00D4208B" w:rsidP="00E60294"/>
    <w:p w:rsidR="004860F4" w:rsidRPr="00621BF1" w:rsidRDefault="004860F4" w:rsidP="00E60294"/>
    <w:p w:rsidR="00E60294" w:rsidRPr="00621BF1" w:rsidRDefault="000372BD" w:rsidP="00E60294">
      <w:pPr>
        <w:jc w:val="center"/>
      </w:pPr>
      <w:r>
        <w:rPr>
          <w:noProof/>
          <w:lang w:eastAsia="fr-FR"/>
        </w:rPr>
        <mc:AlternateContent>
          <mc:Choice Requires="wps">
            <w:drawing>
              <wp:anchor distT="0" distB="0" distL="114300" distR="114300" simplePos="0" relativeHeight="251616256" behindDoc="0" locked="0" layoutInCell="1" allowOverlap="1">
                <wp:simplePos x="0" y="0"/>
                <wp:positionH relativeFrom="margin">
                  <wp:posOffset>809625</wp:posOffset>
                </wp:positionH>
                <wp:positionV relativeFrom="paragraph">
                  <wp:posOffset>223520</wp:posOffset>
                </wp:positionV>
                <wp:extent cx="3829050" cy="1226820"/>
                <wp:effectExtent l="38100" t="38100" r="38100" b="30480"/>
                <wp:wrapNone/>
                <wp:docPr id="15"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29050" cy="1226820"/>
                        </a:xfrm>
                        <a:prstGeom prst="rect">
                          <a:avLst/>
                        </a:prstGeom>
                        <a:ln w="76200">
                          <a:solidFill>
                            <a:srgbClr val="7030A0"/>
                          </a:solidFill>
                        </a:ln>
                        <a:extLst>
                          <a:ext uri="{AF507438-7753-43E0-B8FC-AC1667EBCBE1}">
                            <a14:hiddenEffects xmlns:a14="http://schemas.microsoft.com/office/drawing/2010/main">
                              <a:effectLst/>
                            </a14:hiddenEffects>
                          </a:ext>
                        </a:extLst>
                      </wps:spPr>
                      <wps:txbx>
                        <w:txbxContent>
                          <w:p w:rsidR="00813A59" w:rsidRPr="00020170" w:rsidRDefault="00813A59" w:rsidP="00E60294">
                            <w:pPr>
                              <w:pStyle w:val="NormalWeb"/>
                              <w:spacing w:before="0" w:beforeAutospacing="0" w:after="0" w:afterAutospacing="0"/>
                              <w:jc w:val="center"/>
                              <w:rPr>
                                <w:color w:val="000000" w:themeColor="text1"/>
                                <w:sz w:val="52"/>
                                <w:szCs w:val="56"/>
                              </w:rPr>
                            </w:pPr>
                            <w:r w:rsidRPr="00020170">
                              <w:rPr>
                                <w:color w:val="000000" w:themeColor="text1"/>
                                <w:sz w:val="52"/>
                                <w:szCs w:val="56"/>
                              </w:rPr>
                              <w:t xml:space="preserve">PLAN PLURI ANNUEL COMPLET (PPAC) </w:t>
                            </w:r>
                          </w:p>
                          <w:p w:rsidR="00813A59" w:rsidRPr="00020170" w:rsidRDefault="00813A59" w:rsidP="00E60294">
                            <w:pPr>
                              <w:pStyle w:val="NormalWeb"/>
                              <w:spacing w:before="0" w:beforeAutospacing="0" w:after="0" w:afterAutospacing="0"/>
                              <w:jc w:val="center"/>
                              <w:rPr>
                                <w:color w:val="000000" w:themeColor="text1"/>
                                <w:sz w:val="22"/>
                              </w:rPr>
                            </w:pPr>
                            <w:r w:rsidRPr="00020170">
                              <w:rPr>
                                <w:color w:val="000000" w:themeColor="text1"/>
                                <w:sz w:val="52"/>
                                <w:szCs w:val="56"/>
                              </w:rPr>
                              <w:t>2016-2020 GUINEE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WordArt 27" o:spid="_x0000_s1043" type="#_x0000_t202" style="position:absolute;left:0;text-align:left;margin-left:63.75pt;margin-top:17.6pt;width:301.5pt;height:96.6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" filled="f" strokecolor="#7030a0" strokeweight="6pt">
                <o:lock v:ext="edit" shapetype="t"/>
                <v:textbox>
                  <w:txbxContent>
                    <w:p w:rsidR="004A3175" w:rsidRPr="00020170" w:rsidRDefault="004A3175" w:rsidP="00E60294">
                      <w:pPr>
                        <w:pStyle w:val="NormalWeb"/>
                        <w:spacing w:before="0" w:beforeAutospacing="0" w:after="0" w:afterAutospacing="0"/>
                        <w:jc w:val="center"/>
                        <w:rPr>
                          <w:color w:val="000000" w:themeColor="text1"/>
                          <w:sz w:val="52"/>
                          <w:szCs w:val="56"/>
                        </w:rPr>
                      </w:pPr>
                      <w:r w:rsidRPr="00020170">
                        <w:rPr>
                          <w:color w:val="000000" w:themeColor="text1"/>
                          <w:sz w:val="52"/>
                          <w:szCs w:val="56"/>
                        </w:rPr>
                        <w:t xml:space="preserve">PLAN PLURI ANNUEL COMPLET (PPAC) </w:t>
                      </w:r>
                    </w:p>
                    <w:p w:rsidR="004A3175" w:rsidRPr="00020170" w:rsidRDefault="004A3175" w:rsidP="00E60294">
                      <w:pPr>
                        <w:pStyle w:val="NormalWeb"/>
                        <w:spacing w:before="0" w:beforeAutospacing="0" w:after="0" w:afterAutospacing="0"/>
                        <w:jc w:val="center"/>
                        <w:rPr>
                          <w:color w:val="000000" w:themeColor="text1"/>
                          <w:sz w:val="22"/>
                        </w:rPr>
                      </w:pPr>
                      <w:r w:rsidRPr="00020170">
                        <w:rPr>
                          <w:color w:val="000000" w:themeColor="text1"/>
                          <w:sz w:val="52"/>
                          <w:szCs w:val="56"/>
                        </w:rPr>
                        <w:t>2016-2020 GUINEE</w:t>
                      </w:r>
                    </w:p>
                  </w:txbxContent>
                </v:textbox>
                <w10:wrap anchorx="margin"/>
              </v:shape>
            </w:pict>
          </mc:Fallback>
        </mc:AlternateContent>
      </w:r>
    </w:p>
    <w:p w:rsidR="00E60294" w:rsidRPr="00621BF1" w:rsidRDefault="00E60294" w:rsidP="00E60294"/>
    <w:p w:rsidR="00E60294" w:rsidRPr="00621BF1" w:rsidRDefault="00E60294" w:rsidP="00E60294"/>
    <w:p w:rsidR="00E60294" w:rsidRPr="00621BF1" w:rsidRDefault="00E60294" w:rsidP="00E60294"/>
    <w:p w:rsidR="00E60294" w:rsidRPr="00621BF1" w:rsidRDefault="00E60294" w:rsidP="00E60294"/>
    <w:p w:rsidR="00E60294" w:rsidRPr="00621BF1" w:rsidRDefault="00E60294" w:rsidP="00E60294">
      <w:pPr>
        <w:tabs>
          <w:tab w:val="left" w:pos="3495"/>
        </w:tabs>
        <w:rPr>
          <w:rFonts w:cs="Times New Roman"/>
          <w:sz w:val="24"/>
        </w:rPr>
      </w:pPr>
      <w:r w:rsidRPr="00621BF1">
        <w:rPr>
          <w:rFonts w:cs="Arial"/>
          <w:sz w:val="24"/>
        </w:rPr>
        <w:tab/>
      </w:r>
    </w:p>
    <w:p w:rsidR="002A5AFB" w:rsidRPr="00621BF1" w:rsidRDefault="002A5AFB" w:rsidP="00E60294">
      <w:pPr>
        <w:tabs>
          <w:tab w:val="left" w:pos="3060"/>
        </w:tabs>
        <w:jc w:val="center"/>
        <w:rPr>
          <w:rFonts w:cs="Times New Roman"/>
          <w:b/>
          <w:sz w:val="24"/>
        </w:rPr>
      </w:pPr>
    </w:p>
    <w:p w:rsidR="002A5AFB" w:rsidRPr="00621BF1" w:rsidRDefault="002A5AFB" w:rsidP="00E60294">
      <w:pPr>
        <w:tabs>
          <w:tab w:val="left" w:pos="3060"/>
        </w:tabs>
        <w:jc w:val="center"/>
        <w:rPr>
          <w:rFonts w:cs="Times New Roman"/>
          <w:b/>
          <w:sz w:val="24"/>
        </w:rPr>
      </w:pPr>
    </w:p>
    <w:p w:rsidR="002A5AFB" w:rsidRPr="00621BF1" w:rsidRDefault="002A5AFB" w:rsidP="00E60294">
      <w:pPr>
        <w:tabs>
          <w:tab w:val="left" w:pos="3060"/>
        </w:tabs>
        <w:jc w:val="center"/>
        <w:rPr>
          <w:rFonts w:cs="Times New Roman"/>
          <w:b/>
          <w:sz w:val="24"/>
        </w:rPr>
      </w:pPr>
    </w:p>
    <w:p w:rsidR="002A5AFB" w:rsidRPr="00621BF1" w:rsidRDefault="002A5AFB" w:rsidP="00E60294">
      <w:pPr>
        <w:tabs>
          <w:tab w:val="left" w:pos="3060"/>
        </w:tabs>
        <w:jc w:val="center"/>
        <w:rPr>
          <w:rFonts w:cs="Times New Roman"/>
          <w:b/>
          <w:sz w:val="24"/>
        </w:rPr>
      </w:pPr>
    </w:p>
    <w:p w:rsidR="00E60294" w:rsidRDefault="00E60294" w:rsidP="00E60294">
      <w:pPr>
        <w:tabs>
          <w:tab w:val="left" w:pos="3060"/>
        </w:tabs>
        <w:jc w:val="center"/>
        <w:rPr>
          <w:rFonts w:cs="Times New Roman"/>
          <w:b/>
          <w:sz w:val="24"/>
        </w:rPr>
      </w:pPr>
      <w:r w:rsidRPr="00621BF1">
        <w:rPr>
          <w:rFonts w:cs="Times New Roman"/>
          <w:b/>
          <w:sz w:val="24"/>
        </w:rPr>
        <w:t xml:space="preserve">Conakry, </w:t>
      </w:r>
      <w:r w:rsidR="00DD654D">
        <w:rPr>
          <w:rFonts w:cs="Times New Roman"/>
          <w:b/>
          <w:sz w:val="24"/>
        </w:rPr>
        <w:t>Août</w:t>
      </w:r>
      <w:r w:rsidR="00431B9D" w:rsidRPr="00621BF1">
        <w:rPr>
          <w:rFonts w:cs="Times New Roman"/>
          <w:b/>
          <w:sz w:val="24"/>
        </w:rPr>
        <w:t xml:space="preserve"> 2016</w:t>
      </w:r>
    </w:p>
    <w:p w:rsidR="00685281" w:rsidRPr="00621BF1" w:rsidRDefault="00685281" w:rsidP="00E60294">
      <w:pPr>
        <w:tabs>
          <w:tab w:val="left" w:pos="3060"/>
        </w:tabs>
        <w:jc w:val="center"/>
        <w:rPr>
          <w:rFonts w:cs="Times New Roman"/>
          <w:b/>
          <w:sz w:val="24"/>
        </w:rPr>
      </w:pPr>
      <w:r>
        <w:rPr>
          <w:rFonts w:cs="Times New Roman"/>
          <w:b/>
          <w:sz w:val="24"/>
        </w:rPr>
        <w:t>Révisé en Juillet 2018</w:t>
      </w:r>
    </w:p>
    <w:p w:rsidR="00D4208B" w:rsidRPr="00621BF1" w:rsidRDefault="00D4208B" w:rsidP="00E60294">
      <w:pPr>
        <w:tabs>
          <w:tab w:val="left" w:pos="3060"/>
        </w:tabs>
        <w:jc w:val="center"/>
        <w:rPr>
          <w:rFonts w:cs="Times New Roman"/>
          <w:b/>
          <w:sz w:val="24"/>
        </w:rPr>
      </w:pPr>
    </w:p>
    <w:p w:rsidR="00D4208B" w:rsidRPr="00621BF1" w:rsidRDefault="00D4208B" w:rsidP="00E60294">
      <w:pPr>
        <w:tabs>
          <w:tab w:val="left" w:pos="3060"/>
        </w:tabs>
        <w:jc w:val="center"/>
        <w:rPr>
          <w:rFonts w:cs="Times New Roman"/>
          <w:b/>
          <w:sz w:val="24"/>
        </w:rPr>
        <w:sectPr w:rsidR="00D4208B" w:rsidRPr="00621BF1" w:rsidSect="002A5AFB">
          <w:headerReference w:type="default" r:id="rId11"/>
          <w:footerReference w:type="default" r:id="rId12"/>
          <w:footerReference w:type="first" r:id="rId13"/>
          <w:type w:val="continuous"/>
          <w:pgSz w:w="11906" w:h="16838" w:code="9"/>
          <w:pgMar w:top="1440" w:right="1080" w:bottom="1440" w:left="1080" w:header="709" w:footer="709" w:gutter="0"/>
          <w:cols w:space="708"/>
          <w:titlePg/>
          <w:docGrid w:linePitch="360"/>
        </w:sectPr>
      </w:pPr>
    </w:p>
    <w:p w:rsidR="00431B9D" w:rsidRPr="00621BF1" w:rsidRDefault="00431B9D" w:rsidP="003D4DF9">
      <w:pPr>
        <w:pBdr>
          <w:bottom w:val="single" w:sz="2" w:space="1" w:color="C45911" w:themeColor="accent2" w:themeShade="BF"/>
          <w:right w:val="single" w:sz="48" w:space="4" w:color="C45911" w:themeColor="accent2" w:themeShade="BF"/>
        </w:pBdr>
        <w:rPr>
          <w:b/>
          <w:color w:val="0070C0"/>
          <w:sz w:val="24"/>
        </w:rPr>
      </w:pPr>
      <w:bookmarkStart w:id="0" w:name="_Toc452746465"/>
      <w:r w:rsidRPr="00621BF1">
        <w:rPr>
          <w:b/>
          <w:color w:val="0070C0"/>
          <w:sz w:val="24"/>
        </w:rPr>
        <w:lastRenderedPageBreak/>
        <w:t>LETTRE D’ENDOSSEMENT</w:t>
      </w:r>
      <w:bookmarkEnd w:id="0"/>
      <w:r w:rsidRPr="00621BF1">
        <w:rPr>
          <w:b/>
          <w:color w:val="0070C0"/>
          <w:sz w:val="24"/>
        </w:rPr>
        <w:t xml:space="preserve"> </w:t>
      </w:r>
    </w:p>
    <w:p w:rsidR="00431B9D" w:rsidRPr="00621BF1" w:rsidRDefault="00431B9D" w:rsidP="00AC2A28">
      <w:pPr>
        <w:spacing w:before="60" w:after="60"/>
        <w:jc w:val="both"/>
        <w:rPr>
          <w:rFonts w:cs="Arial"/>
        </w:rPr>
      </w:pPr>
      <w:r w:rsidRPr="00621BF1">
        <w:rPr>
          <w:rFonts w:cs="Arial"/>
        </w:rPr>
        <w:t>Pour améliorer l’état de santé de la population et permettre l’accessibilité et l’équité  de tous aux services de vaccination, le Gouvernement guinéen, dans sa  stratégie sectorielle  de santé s’est fixé l’objectif de réduire la morbidité et la mortalité dues aux maladies évitables par la vaccination. Pour ce faire, il s’est doté d’un Plan Pluriannuel Complet (PPAC)  pour la période allant de 2016 à 2020. Le présent PPAC est un instrument pour la mise en œuvre des orientations du Plan d’Action Mondiale pour les Vaccins (GVAP)</w:t>
      </w:r>
      <w:r w:rsidR="000339C4">
        <w:rPr>
          <w:rFonts w:cs="Arial"/>
        </w:rPr>
        <w:t xml:space="preserve"> 2011-2020</w:t>
      </w:r>
      <w:r w:rsidRPr="00621BF1">
        <w:rPr>
          <w:rFonts w:cs="Arial"/>
        </w:rPr>
        <w:t xml:space="preserve"> et l’expression de l’engagement du Gouvernement de la République de Guinée et </w:t>
      </w:r>
      <w:r w:rsidR="000339C4">
        <w:rPr>
          <w:rFonts w:cs="Arial"/>
        </w:rPr>
        <w:t xml:space="preserve">de </w:t>
      </w:r>
      <w:r w:rsidRPr="00621BF1">
        <w:rPr>
          <w:rFonts w:cs="Arial"/>
        </w:rPr>
        <w:t xml:space="preserve">ses partenaires de concrétiser l’immunisation effective des enfants.  </w:t>
      </w:r>
    </w:p>
    <w:p w:rsidR="00431B9D" w:rsidRPr="00621BF1" w:rsidRDefault="00431B9D" w:rsidP="00AC2A28">
      <w:pPr>
        <w:spacing w:before="60" w:after="60"/>
        <w:jc w:val="both"/>
        <w:rPr>
          <w:rFonts w:cs="Arial"/>
        </w:rPr>
      </w:pPr>
      <w:r w:rsidRPr="00621BF1">
        <w:rPr>
          <w:rFonts w:cs="Arial"/>
        </w:rPr>
        <w:t xml:space="preserve">En cohérence avec la Politique Nationale de Santé 2015-2024, le Plan national de Développement Sanitaire (PNDS), </w:t>
      </w:r>
      <w:r w:rsidR="000339C4">
        <w:rPr>
          <w:rFonts w:cs="Arial"/>
        </w:rPr>
        <w:t xml:space="preserve">le Plan de relance et de résilience du système de santé 2015- 2017 </w:t>
      </w:r>
      <w:r w:rsidRPr="00621BF1">
        <w:rPr>
          <w:rFonts w:cs="Arial"/>
        </w:rPr>
        <w:t>et le Plan d’Action Mondiale pour les Vaccins 2011-2020, ce document se veut un cadre d’orientation stratégique et de référence nationale pour la  planification des activités de vaccination et la mobilisation des ressources. Sa mise en œuvre exige le développement d’un partenariat actif et une bonne coordination de tous les partenaires du PEV pour mobiliser l’ensemble des ressources requises.</w:t>
      </w:r>
    </w:p>
    <w:p w:rsidR="00431B9D" w:rsidRPr="00621BF1" w:rsidRDefault="000339C4" w:rsidP="00965D13">
      <w:pPr>
        <w:shd w:val="clear" w:color="auto" w:fill="FFFF00"/>
        <w:spacing w:before="60" w:after="60"/>
        <w:jc w:val="both"/>
        <w:rPr>
          <w:rFonts w:cs="Arial"/>
        </w:rPr>
      </w:pPr>
      <w:r w:rsidRPr="00621BF1">
        <w:rPr>
          <w:rFonts w:cs="Arial"/>
        </w:rPr>
        <w:t xml:space="preserve">Le but visé par ce plan est de contribuer à la réduction de la morbidité et de la mortalité liées aux maladies évitables par la vaccination chez les enfants de 0-59 mois et </w:t>
      </w:r>
      <w:r>
        <w:rPr>
          <w:rFonts w:cs="Arial"/>
        </w:rPr>
        <w:t xml:space="preserve">chez </w:t>
      </w:r>
      <w:r w:rsidRPr="00621BF1">
        <w:rPr>
          <w:rFonts w:cs="Arial"/>
        </w:rPr>
        <w:t xml:space="preserve">les femmes en âge de procréer de 15 à 49 ans à travers </w:t>
      </w:r>
      <w:r>
        <w:rPr>
          <w:rFonts w:cs="Arial"/>
        </w:rPr>
        <w:t xml:space="preserve">l’amélioration de la qualité et </w:t>
      </w:r>
      <w:r w:rsidRPr="00621BF1">
        <w:rPr>
          <w:rFonts w:cs="Arial"/>
        </w:rPr>
        <w:t>l’augmentation</w:t>
      </w:r>
      <w:r>
        <w:rPr>
          <w:rFonts w:cs="Arial"/>
        </w:rPr>
        <w:t xml:space="preserve"> </w:t>
      </w:r>
      <w:r w:rsidRPr="00621BF1">
        <w:rPr>
          <w:rFonts w:cs="Arial"/>
        </w:rPr>
        <w:t>de l’utilisation des services de vaccination, l’introduction de nouveaux vaccins ainsi que l’intégration d’autres interventions sanitaires à la vaccination</w:t>
      </w:r>
      <w:r w:rsidR="00431B9D" w:rsidRPr="00621BF1">
        <w:rPr>
          <w:rFonts w:cs="Arial"/>
        </w:rPr>
        <w:t>.</w:t>
      </w:r>
    </w:p>
    <w:p w:rsidR="00431B9D" w:rsidRPr="00621BF1" w:rsidRDefault="00431B9D" w:rsidP="00AC2A28">
      <w:pPr>
        <w:spacing w:before="60" w:after="60"/>
        <w:jc w:val="both"/>
        <w:rPr>
          <w:rFonts w:cs="Arial"/>
        </w:rPr>
      </w:pPr>
      <w:r w:rsidRPr="00621BF1">
        <w:rPr>
          <w:rFonts w:cs="Arial"/>
        </w:rPr>
        <w:t xml:space="preserve">En vue d’examiner et de valider ce PPAC, une réunion du Comité de Coordination Inter-Agences (CCIA) s’est tenue le </w:t>
      </w:r>
      <w:r w:rsidR="000339C4">
        <w:rPr>
          <w:rFonts w:cs="Arial"/>
        </w:rPr>
        <w:t>05 Août 2016</w:t>
      </w:r>
      <w:r w:rsidRPr="00621BF1">
        <w:rPr>
          <w:rFonts w:cs="Arial"/>
        </w:rPr>
        <w:t xml:space="preserve"> sous la présidence de Monsieur le </w:t>
      </w:r>
      <w:r w:rsidR="000339C4">
        <w:rPr>
          <w:rFonts w:cs="Arial"/>
        </w:rPr>
        <w:t xml:space="preserve">Secrétaire Général </w:t>
      </w:r>
      <w:r w:rsidRPr="00621BF1">
        <w:rPr>
          <w:rFonts w:cs="Arial"/>
        </w:rPr>
        <w:t>de la Santé.</w:t>
      </w:r>
    </w:p>
    <w:p w:rsidR="00431B9D" w:rsidRPr="00621BF1" w:rsidRDefault="00431B9D" w:rsidP="00AC2A28">
      <w:pPr>
        <w:spacing w:before="60" w:after="60"/>
        <w:jc w:val="both"/>
        <w:rPr>
          <w:rFonts w:cs="Arial"/>
        </w:rPr>
      </w:pPr>
      <w:r w:rsidRPr="00621BF1">
        <w:rPr>
          <w:rFonts w:cs="Arial"/>
        </w:rPr>
        <w:t>Fort des décisions de cette réunion, le Gouvernement et ses partenaires ont manifesté leur engagement comme suit :</w:t>
      </w:r>
    </w:p>
    <w:p w:rsidR="00431B9D" w:rsidRPr="00621BF1" w:rsidRDefault="00431B9D" w:rsidP="00AC2A28">
      <w:pPr>
        <w:pStyle w:val="Paragraphedeliste2"/>
        <w:numPr>
          <w:ilvl w:val="0"/>
          <w:numId w:val="2"/>
        </w:numPr>
        <w:spacing w:before="60" w:after="60" w:line="276" w:lineRule="auto"/>
        <w:jc w:val="both"/>
        <w:rPr>
          <w:rFonts w:ascii="Gill Sans MT" w:hAnsi="Gill Sans MT" w:cs="Arial"/>
        </w:rPr>
      </w:pPr>
      <w:r w:rsidRPr="00621BF1">
        <w:rPr>
          <w:rFonts w:ascii="Gill Sans MT" w:hAnsi="Gill Sans MT" w:cs="Arial"/>
        </w:rPr>
        <w:t>l’Etat guinéen s’engage à œuvrer pleinement pour la résorption des gaps financiers du PPAC 2016-2020 et la réalisation des objectifs de son Programme Elargi de Vaccination;</w:t>
      </w:r>
    </w:p>
    <w:p w:rsidR="00431B9D" w:rsidRPr="00621BF1" w:rsidRDefault="00431B9D" w:rsidP="00AC2A28">
      <w:pPr>
        <w:pStyle w:val="Paragraphedeliste2"/>
        <w:numPr>
          <w:ilvl w:val="0"/>
          <w:numId w:val="2"/>
        </w:numPr>
        <w:spacing w:before="60" w:after="60" w:line="276" w:lineRule="auto"/>
        <w:jc w:val="both"/>
        <w:rPr>
          <w:rFonts w:ascii="Gill Sans MT" w:hAnsi="Gill Sans MT" w:cs="Arial"/>
        </w:rPr>
      </w:pPr>
      <w:r w:rsidRPr="00621BF1">
        <w:rPr>
          <w:rFonts w:ascii="Gill Sans MT" w:hAnsi="Gill Sans MT" w:cs="Arial"/>
        </w:rPr>
        <w:t xml:space="preserve">les partenaires </w:t>
      </w:r>
      <w:r w:rsidR="003F12E2" w:rsidRPr="00621BF1">
        <w:rPr>
          <w:rFonts w:ascii="Gill Sans MT" w:hAnsi="Gill Sans MT" w:cs="Arial"/>
        </w:rPr>
        <w:t xml:space="preserve">et la société civile </w:t>
      </w:r>
      <w:r w:rsidRPr="00621BF1">
        <w:rPr>
          <w:rFonts w:ascii="Gill Sans MT" w:hAnsi="Gill Sans MT" w:cs="Arial"/>
        </w:rPr>
        <w:t>s’engagent à soutenir le Gouvernement guinéen pour la réalisation des objectifs du PEV  à travers</w:t>
      </w:r>
      <w:r w:rsidR="000339C4" w:rsidRPr="000339C4">
        <w:rPr>
          <w:rFonts w:ascii="Gill Sans MT" w:hAnsi="Gill Sans MT" w:cs="Arial"/>
        </w:rPr>
        <w:t xml:space="preserve"> </w:t>
      </w:r>
      <w:r w:rsidR="000339C4">
        <w:rPr>
          <w:rFonts w:ascii="Gill Sans MT" w:hAnsi="Gill Sans MT" w:cs="Arial"/>
        </w:rPr>
        <w:t>la mobilisation des ressources nécessaires à</w:t>
      </w:r>
      <w:r w:rsidRPr="00621BF1">
        <w:rPr>
          <w:rFonts w:ascii="Gill Sans MT" w:hAnsi="Gill Sans MT" w:cs="Arial"/>
        </w:rPr>
        <w:t xml:space="preserve"> la mise en œuvre du Plan Pluriannuel Complet 2016-2020;</w:t>
      </w:r>
    </w:p>
    <w:p w:rsidR="00431B9D" w:rsidRPr="00621BF1" w:rsidRDefault="00431B9D" w:rsidP="00AC2A28">
      <w:pPr>
        <w:pStyle w:val="Paragraphedeliste2"/>
        <w:numPr>
          <w:ilvl w:val="0"/>
          <w:numId w:val="2"/>
        </w:numPr>
        <w:spacing w:before="60" w:after="60" w:line="276" w:lineRule="auto"/>
        <w:jc w:val="both"/>
        <w:rPr>
          <w:rFonts w:ascii="Gill Sans MT" w:hAnsi="Gill Sans MT" w:cs="Arial"/>
        </w:rPr>
      </w:pPr>
      <w:r w:rsidRPr="00621BF1">
        <w:rPr>
          <w:rFonts w:ascii="Gill Sans MT" w:hAnsi="Gill Sans MT" w:cs="Arial"/>
        </w:rPr>
        <w:t>le Plan Pluriannuel Complet  sera conjointement réajusté chaque année. L’Etat et ses partenaires mobiliseront  les ressources nécessaires en vue d’atteindre les objectifs fixés.</w:t>
      </w:r>
    </w:p>
    <w:p w:rsidR="00431B9D" w:rsidRPr="00621BF1" w:rsidRDefault="00431B9D" w:rsidP="00AC2A28">
      <w:pPr>
        <w:spacing w:before="60" w:after="60"/>
        <w:jc w:val="center"/>
        <w:rPr>
          <w:rFonts w:cs="Arial"/>
        </w:rPr>
      </w:pPr>
      <w:r w:rsidRPr="00621BF1">
        <w:rPr>
          <w:rFonts w:cs="Arial"/>
        </w:rPr>
        <w:t>Conakry, le …………………………………..</w:t>
      </w:r>
    </w:p>
    <w:p w:rsidR="002C6672" w:rsidRPr="00621BF1" w:rsidRDefault="002C6672" w:rsidP="002C6672">
      <w:pPr>
        <w:spacing w:before="240" w:after="240"/>
        <w:jc w:val="both"/>
        <w:rPr>
          <w:b/>
        </w:rPr>
      </w:pPr>
      <w:r w:rsidRPr="00621BF1">
        <w:rPr>
          <w:b/>
        </w:rPr>
        <w:t>Pour le Gouvernement de la République de Guinée</w:t>
      </w:r>
    </w:p>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2854"/>
        <w:gridCol w:w="1915"/>
        <w:gridCol w:w="2774"/>
      </w:tblGrid>
      <w:tr w:rsidR="002C6672" w:rsidRPr="00621BF1" w:rsidTr="00F53D6A">
        <w:trPr>
          <w:trHeight w:val="350"/>
        </w:trPr>
        <w:tc>
          <w:tcPr>
            <w:tcW w:w="1495" w:type="pct"/>
          </w:tcPr>
          <w:p w:rsidR="002C6672" w:rsidRPr="00621BF1" w:rsidRDefault="002C6672" w:rsidP="00070E51">
            <w:pPr>
              <w:jc w:val="center"/>
              <w:rPr>
                <w:b/>
              </w:rPr>
            </w:pPr>
            <w:r w:rsidRPr="00621BF1">
              <w:rPr>
                <w:b/>
              </w:rPr>
              <w:t>Institution/Organisation</w:t>
            </w:r>
          </w:p>
        </w:tc>
        <w:tc>
          <w:tcPr>
            <w:tcW w:w="1326" w:type="pct"/>
          </w:tcPr>
          <w:p w:rsidR="002C6672" w:rsidRPr="00621BF1" w:rsidRDefault="002C6672" w:rsidP="000807FF">
            <w:pPr>
              <w:rPr>
                <w:b/>
              </w:rPr>
            </w:pPr>
            <w:r w:rsidRPr="00621BF1">
              <w:rPr>
                <w:b/>
              </w:rPr>
              <w:t>Nom/Fonction</w:t>
            </w:r>
          </w:p>
        </w:tc>
        <w:tc>
          <w:tcPr>
            <w:tcW w:w="890" w:type="pct"/>
          </w:tcPr>
          <w:p w:rsidR="002C6672" w:rsidRPr="00621BF1" w:rsidRDefault="002C6672" w:rsidP="000807FF">
            <w:pPr>
              <w:rPr>
                <w:b/>
              </w:rPr>
            </w:pPr>
            <w:r w:rsidRPr="00621BF1">
              <w:rPr>
                <w:b/>
              </w:rPr>
              <w:t xml:space="preserve">       Date                  </w:t>
            </w:r>
          </w:p>
        </w:tc>
        <w:tc>
          <w:tcPr>
            <w:tcW w:w="1289" w:type="pct"/>
          </w:tcPr>
          <w:p w:rsidR="002C6672" w:rsidRPr="00621BF1" w:rsidRDefault="002C6672" w:rsidP="000807FF">
            <w:pPr>
              <w:rPr>
                <w:b/>
              </w:rPr>
            </w:pPr>
            <w:r w:rsidRPr="00621BF1">
              <w:rPr>
                <w:b/>
              </w:rPr>
              <w:t>Signature</w:t>
            </w:r>
          </w:p>
        </w:tc>
      </w:tr>
      <w:tr w:rsidR="002C6672" w:rsidRPr="00621BF1" w:rsidTr="00F53D6A">
        <w:trPr>
          <w:trHeight w:val="872"/>
        </w:trPr>
        <w:tc>
          <w:tcPr>
            <w:tcW w:w="1495" w:type="pct"/>
          </w:tcPr>
          <w:p w:rsidR="002C6672" w:rsidRPr="00621BF1" w:rsidRDefault="0005475F" w:rsidP="006809A4">
            <w:pPr>
              <w:jc w:val="center"/>
            </w:pPr>
            <w:r w:rsidRPr="00621BF1">
              <w:t>Ministère de la Santé</w:t>
            </w:r>
          </w:p>
        </w:tc>
        <w:tc>
          <w:tcPr>
            <w:tcW w:w="1326" w:type="pct"/>
          </w:tcPr>
          <w:p w:rsidR="002C6672" w:rsidRPr="00AA70AB" w:rsidRDefault="00956A06" w:rsidP="006B60FC">
            <w:r>
              <w:t xml:space="preserve">Docteur </w:t>
            </w:r>
            <w:r w:rsidR="006B60FC">
              <w:t xml:space="preserve">Edouard </w:t>
            </w:r>
            <w:proofErr w:type="spellStart"/>
            <w:r w:rsidR="006B60FC">
              <w:t>Niankoye</w:t>
            </w:r>
            <w:proofErr w:type="spellEnd"/>
            <w:r w:rsidR="006B60FC">
              <w:t xml:space="preserve"> LAMAH </w:t>
            </w:r>
            <w:r>
              <w:t xml:space="preserve">Ministre </w:t>
            </w:r>
            <w:r w:rsidR="006B60FC">
              <w:t>d’E</w:t>
            </w:r>
            <w:r w:rsidR="00007F3B">
              <w:t>t</w:t>
            </w:r>
            <w:r w:rsidR="006B60FC">
              <w:t xml:space="preserve">at </w:t>
            </w:r>
            <w:r>
              <w:t>de la Santé</w:t>
            </w:r>
          </w:p>
        </w:tc>
        <w:tc>
          <w:tcPr>
            <w:tcW w:w="890" w:type="pct"/>
          </w:tcPr>
          <w:p w:rsidR="002C6672" w:rsidRPr="00AA70AB" w:rsidRDefault="002C6672" w:rsidP="000807FF"/>
        </w:tc>
        <w:tc>
          <w:tcPr>
            <w:tcW w:w="1289" w:type="pct"/>
          </w:tcPr>
          <w:p w:rsidR="002C6672" w:rsidRPr="00AA70AB" w:rsidRDefault="002C6672" w:rsidP="000807FF"/>
        </w:tc>
      </w:tr>
      <w:tr w:rsidR="0005475F" w:rsidRPr="00621BF1" w:rsidTr="00F53D6A">
        <w:trPr>
          <w:trHeight w:val="872"/>
        </w:trPr>
        <w:tc>
          <w:tcPr>
            <w:tcW w:w="1495" w:type="pct"/>
          </w:tcPr>
          <w:p w:rsidR="0005475F" w:rsidRPr="00621BF1" w:rsidRDefault="0005475F" w:rsidP="006809A4">
            <w:pPr>
              <w:jc w:val="center"/>
            </w:pPr>
            <w:r w:rsidRPr="00621BF1">
              <w:t>Ministère des Finances</w:t>
            </w:r>
          </w:p>
        </w:tc>
        <w:tc>
          <w:tcPr>
            <w:tcW w:w="1326" w:type="pct"/>
          </w:tcPr>
          <w:p w:rsidR="0005475F" w:rsidRPr="00A718E5" w:rsidRDefault="00956A06" w:rsidP="000807FF">
            <w:r w:rsidRPr="0004410E">
              <w:rPr>
                <w:color w:val="FF0000"/>
              </w:rPr>
              <w:t xml:space="preserve">Madame </w:t>
            </w:r>
            <w:proofErr w:type="spellStart"/>
            <w:r w:rsidRPr="0004410E">
              <w:rPr>
                <w:color w:val="FF0000"/>
              </w:rPr>
              <w:t>Malado</w:t>
            </w:r>
            <w:proofErr w:type="spellEnd"/>
            <w:r w:rsidRPr="0004410E">
              <w:rPr>
                <w:color w:val="FF0000"/>
              </w:rPr>
              <w:t xml:space="preserve"> </w:t>
            </w:r>
            <w:proofErr w:type="spellStart"/>
            <w:r w:rsidRPr="0004410E">
              <w:rPr>
                <w:color w:val="FF0000"/>
              </w:rPr>
              <w:t>Kaba</w:t>
            </w:r>
            <w:proofErr w:type="spellEnd"/>
            <w:r w:rsidRPr="0004410E">
              <w:rPr>
                <w:color w:val="FF0000"/>
              </w:rPr>
              <w:t>, Economiste Ministre des Finances</w:t>
            </w:r>
          </w:p>
        </w:tc>
        <w:tc>
          <w:tcPr>
            <w:tcW w:w="890" w:type="pct"/>
          </w:tcPr>
          <w:p w:rsidR="0005475F" w:rsidRPr="00A718E5" w:rsidRDefault="0005475F" w:rsidP="000807FF"/>
        </w:tc>
        <w:tc>
          <w:tcPr>
            <w:tcW w:w="1289" w:type="pct"/>
          </w:tcPr>
          <w:p w:rsidR="0005475F" w:rsidRPr="00A718E5" w:rsidRDefault="0005475F" w:rsidP="000807FF"/>
        </w:tc>
      </w:tr>
      <w:tr w:rsidR="002C6672" w:rsidRPr="00621BF1" w:rsidTr="00F53D6A">
        <w:trPr>
          <w:trHeight w:val="800"/>
        </w:trPr>
        <w:tc>
          <w:tcPr>
            <w:tcW w:w="1495" w:type="pct"/>
          </w:tcPr>
          <w:p w:rsidR="002C6672" w:rsidRPr="00A718E5" w:rsidRDefault="002C6672" w:rsidP="006809A4"/>
          <w:p w:rsidR="002C6672" w:rsidRPr="00621BF1" w:rsidRDefault="002C6672" w:rsidP="000807FF">
            <w:pPr>
              <w:jc w:val="center"/>
            </w:pPr>
            <w:r w:rsidRPr="00621BF1">
              <w:t>Ministère du Budget</w:t>
            </w:r>
          </w:p>
        </w:tc>
        <w:tc>
          <w:tcPr>
            <w:tcW w:w="1326" w:type="pct"/>
          </w:tcPr>
          <w:p w:rsidR="002C6672" w:rsidRPr="00621BF1" w:rsidRDefault="00956A06" w:rsidP="000807FF">
            <w:r>
              <w:t xml:space="preserve">Docteur Mohamed Lamine </w:t>
            </w:r>
            <w:proofErr w:type="spellStart"/>
            <w:r>
              <w:t>Doumbouya</w:t>
            </w:r>
            <w:proofErr w:type="spellEnd"/>
            <w:r>
              <w:t xml:space="preserve"> Ministre du Budget</w:t>
            </w:r>
          </w:p>
        </w:tc>
        <w:tc>
          <w:tcPr>
            <w:tcW w:w="890" w:type="pct"/>
          </w:tcPr>
          <w:p w:rsidR="002C6672" w:rsidRPr="00621BF1" w:rsidRDefault="002C6672" w:rsidP="000807FF"/>
        </w:tc>
        <w:tc>
          <w:tcPr>
            <w:tcW w:w="1289" w:type="pct"/>
          </w:tcPr>
          <w:p w:rsidR="002C6672" w:rsidRPr="00621BF1" w:rsidRDefault="002C6672" w:rsidP="000807FF"/>
        </w:tc>
      </w:tr>
    </w:tbl>
    <w:p w:rsidR="0005475F" w:rsidRPr="00621BF1" w:rsidRDefault="0005475F" w:rsidP="002C6672">
      <w:pPr>
        <w:rPr>
          <w:b/>
          <w:sz w:val="2"/>
        </w:rPr>
      </w:pPr>
    </w:p>
    <w:p w:rsidR="0005475F" w:rsidRPr="00621BF1" w:rsidRDefault="0005475F" w:rsidP="002C6672">
      <w:pPr>
        <w:rPr>
          <w:b/>
          <w:sz w:val="2"/>
        </w:rPr>
      </w:pPr>
      <w:r w:rsidRPr="00621BF1">
        <w:rPr>
          <w:b/>
          <w:sz w:val="2"/>
        </w:rPr>
        <w:t>p</w:t>
      </w:r>
    </w:p>
    <w:p w:rsidR="0005475F" w:rsidRPr="00621BF1" w:rsidRDefault="0005475F" w:rsidP="002C6672">
      <w:pPr>
        <w:rPr>
          <w:b/>
          <w:sz w:val="2"/>
        </w:rPr>
      </w:pPr>
    </w:p>
    <w:p w:rsidR="0005475F" w:rsidRPr="00621BF1" w:rsidRDefault="0005475F" w:rsidP="002C6672">
      <w:pPr>
        <w:rPr>
          <w:b/>
        </w:rPr>
      </w:pPr>
      <w:r w:rsidRPr="00621BF1">
        <w:rPr>
          <w:b/>
        </w:rPr>
        <w:t xml:space="preserve">Assemblée Nationale </w:t>
      </w:r>
    </w:p>
    <w:tbl>
      <w:tblPr>
        <w:tblStyle w:val="Grilledutableau"/>
        <w:tblpPr w:leftFromText="180" w:rightFromText="180" w:vertAnchor="text" w:horzAnchor="margin" w:tblpY="203"/>
        <w:tblW w:w="10525" w:type="dxa"/>
        <w:tblLook w:val="04A0" w:firstRow="1" w:lastRow="0" w:firstColumn="1" w:lastColumn="0" w:noHBand="0" w:noVBand="1"/>
      </w:tblPr>
      <w:tblGrid>
        <w:gridCol w:w="3145"/>
        <w:gridCol w:w="2790"/>
        <w:gridCol w:w="1890"/>
        <w:gridCol w:w="2700"/>
      </w:tblGrid>
      <w:tr w:rsidR="0005475F" w:rsidRPr="00621BF1" w:rsidTr="0005475F">
        <w:tc>
          <w:tcPr>
            <w:tcW w:w="3145" w:type="dxa"/>
          </w:tcPr>
          <w:p w:rsidR="0005475F" w:rsidRPr="00621BF1" w:rsidRDefault="0005475F" w:rsidP="0005475F">
            <w:pPr>
              <w:rPr>
                <w:b/>
              </w:rPr>
            </w:pPr>
          </w:p>
        </w:tc>
        <w:tc>
          <w:tcPr>
            <w:tcW w:w="2790" w:type="dxa"/>
          </w:tcPr>
          <w:p w:rsidR="0005475F" w:rsidRPr="00A718E5" w:rsidRDefault="004112B0" w:rsidP="0005475F">
            <w:pPr>
              <w:rPr>
                <w:b/>
                <w:lang w:val="fr-FR"/>
              </w:rPr>
            </w:pPr>
            <w:r w:rsidRPr="00A718E5">
              <w:rPr>
                <w:rFonts w:cs="Arial"/>
                <w:sz w:val="20"/>
                <w:szCs w:val="20"/>
                <w:lang w:val="fr-FR"/>
              </w:rPr>
              <w:t xml:space="preserve">Hon Dr Christian </w:t>
            </w:r>
            <w:proofErr w:type="spellStart"/>
            <w:r w:rsidRPr="00A718E5">
              <w:rPr>
                <w:rFonts w:cs="Arial"/>
                <w:sz w:val="20"/>
                <w:szCs w:val="20"/>
                <w:lang w:val="fr-FR"/>
              </w:rPr>
              <w:t>Sinata</w:t>
            </w:r>
            <w:proofErr w:type="spellEnd"/>
            <w:r w:rsidRPr="00A718E5">
              <w:rPr>
                <w:rFonts w:cs="Arial"/>
                <w:sz w:val="20"/>
                <w:szCs w:val="20"/>
                <w:lang w:val="fr-FR"/>
              </w:rPr>
              <w:t xml:space="preserve"> TOURE</w:t>
            </w:r>
          </w:p>
        </w:tc>
        <w:tc>
          <w:tcPr>
            <w:tcW w:w="1890" w:type="dxa"/>
          </w:tcPr>
          <w:p w:rsidR="0005475F" w:rsidRPr="00A718E5" w:rsidRDefault="0005475F" w:rsidP="0005475F">
            <w:pPr>
              <w:rPr>
                <w:b/>
                <w:lang w:val="fr-FR"/>
              </w:rPr>
            </w:pPr>
          </w:p>
        </w:tc>
        <w:tc>
          <w:tcPr>
            <w:tcW w:w="2700" w:type="dxa"/>
          </w:tcPr>
          <w:p w:rsidR="0005475F" w:rsidRPr="00A718E5" w:rsidRDefault="0005475F" w:rsidP="0005475F">
            <w:pPr>
              <w:rPr>
                <w:b/>
                <w:lang w:val="fr-FR"/>
              </w:rPr>
            </w:pPr>
          </w:p>
        </w:tc>
      </w:tr>
    </w:tbl>
    <w:p w:rsidR="0005475F" w:rsidRPr="00621BF1" w:rsidRDefault="0005475F" w:rsidP="002C6672">
      <w:pPr>
        <w:rPr>
          <w:b/>
        </w:rPr>
      </w:pPr>
    </w:p>
    <w:p w:rsidR="002C6672" w:rsidRPr="00621BF1" w:rsidRDefault="002C6672" w:rsidP="002C6672">
      <w:pPr>
        <w:rPr>
          <w:b/>
        </w:rPr>
      </w:pPr>
      <w:r w:rsidRPr="00621BF1">
        <w:rPr>
          <w:b/>
        </w:rPr>
        <w:t>Partenaires Techniques et Financiers</w:t>
      </w:r>
    </w:p>
    <w:p w:rsidR="002C6672" w:rsidRPr="00621BF1" w:rsidRDefault="002C6672" w:rsidP="002C6672">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912"/>
        <w:gridCol w:w="1851"/>
        <w:gridCol w:w="2310"/>
      </w:tblGrid>
      <w:tr w:rsidR="002C6672" w:rsidRPr="007B610D" w:rsidTr="00F53D6A">
        <w:trPr>
          <w:trHeight w:val="548"/>
        </w:trPr>
        <w:tc>
          <w:tcPr>
            <w:tcW w:w="1565" w:type="pct"/>
          </w:tcPr>
          <w:p w:rsidR="00483724" w:rsidRPr="00621BF1" w:rsidRDefault="002C6672" w:rsidP="006809A4">
            <w:pPr>
              <w:jc w:val="center"/>
              <w:rPr>
                <w:lang w:val="nl-NL"/>
              </w:rPr>
            </w:pPr>
            <w:r w:rsidRPr="00621BF1">
              <w:rPr>
                <w:lang w:val="nl-NL"/>
              </w:rPr>
              <w:t>OMS</w:t>
            </w:r>
          </w:p>
          <w:p w:rsidR="006809A4" w:rsidRPr="00621BF1" w:rsidRDefault="006809A4" w:rsidP="006809A4">
            <w:pPr>
              <w:jc w:val="center"/>
              <w:rPr>
                <w:lang w:val="nl-NL"/>
              </w:rPr>
            </w:pPr>
          </w:p>
        </w:tc>
        <w:tc>
          <w:tcPr>
            <w:tcW w:w="1414" w:type="pct"/>
          </w:tcPr>
          <w:p w:rsidR="002C6672" w:rsidRPr="00AA70AB" w:rsidRDefault="00956A06" w:rsidP="00956A06">
            <w:pPr>
              <w:rPr>
                <w:lang w:val="en-US"/>
              </w:rPr>
            </w:pPr>
            <w:proofErr w:type="spellStart"/>
            <w:r w:rsidRPr="00AA70AB">
              <w:rPr>
                <w:lang w:val="en-US"/>
              </w:rPr>
              <w:t>Pr</w:t>
            </w:r>
            <w:proofErr w:type="spellEnd"/>
            <w:r w:rsidRPr="00AA70AB">
              <w:rPr>
                <w:lang w:val="en-US"/>
              </w:rPr>
              <w:t xml:space="preserve"> Georges Ki-</w:t>
            </w:r>
            <w:proofErr w:type="spellStart"/>
            <w:r w:rsidRPr="00AA70AB">
              <w:rPr>
                <w:lang w:val="en-US"/>
              </w:rPr>
              <w:t>Zerbo</w:t>
            </w:r>
            <w:proofErr w:type="spellEnd"/>
            <w:r w:rsidRPr="00AA70AB">
              <w:rPr>
                <w:lang w:val="en-US"/>
              </w:rPr>
              <w:t xml:space="preserve">, </w:t>
            </w:r>
            <w:proofErr w:type="spellStart"/>
            <w:r w:rsidRPr="00AA70AB">
              <w:rPr>
                <w:lang w:val="en-US"/>
              </w:rPr>
              <w:t>Representant</w:t>
            </w:r>
            <w:proofErr w:type="spellEnd"/>
            <w:r w:rsidRPr="00AA70AB">
              <w:rPr>
                <w:lang w:val="en-US"/>
              </w:rPr>
              <w:t xml:space="preserve"> OMS</w:t>
            </w:r>
          </w:p>
        </w:tc>
        <w:tc>
          <w:tcPr>
            <w:tcW w:w="899" w:type="pct"/>
          </w:tcPr>
          <w:p w:rsidR="00070E51" w:rsidRPr="00AA70AB" w:rsidRDefault="00070E51" w:rsidP="00070E51">
            <w:pPr>
              <w:rPr>
                <w:lang w:val="en-US"/>
              </w:rPr>
            </w:pPr>
          </w:p>
        </w:tc>
        <w:tc>
          <w:tcPr>
            <w:tcW w:w="1122" w:type="pct"/>
          </w:tcPr>
          <w:p w:rsidR="002C6672" w:rsidRPr="00AA70AB" w:rsidRDefault="002C6672" w:rsidP="000807FF">
            <w:pPr>
              <w:jc w:val="center"/>
              <w:rPr>
                <w:lang w:val="en-US"/>
              </w:rPr>
            </w:pPr>
          </w:p>
        </w:tc>
      </w:tr>
      <w:tr w:rsidR="00E21DCC" w:rsidRPr="00621BF1" w:rsidTr="00F53D6A">
        <w:trPr>
          <w:trHeight w:val="539"/>
        </w:trPr>
        <w:tc>
          <w:tcPr>
            <w:tcW w:w="1565" w:type="pct"/>
          </w:tcPr>
          <w:p w:rsidR="00E21DCC" w:rsidRPr="00621BF1" w:rsidRDefault="00E21DCC" w:rsidP="00E21DCC">
            <w:pPr>
              <w:jc w:val="center"/>
            </w:pPr>
            <w:r w:rsidRPr="00621BF1">
              <w:t>UNICEF</w:t>
            </w:r>
          </w:p>
          <w:p w:rsidR="006809A4" w:rsidRPr="00621BF1" w:rsidRDefault="006809A4" w:rsidP="00E21DCC">
            <w:pPr>
              <w:jc w:val="center"/>
            </w:pPr>
          </w:p>
        </w:tc>
        <w:tc>
          <w:tcPr>
            <w:tcW w:w="1414" w:type="pct"/>
          </w:tcPr>
          <w:p w:rsidR="00E21DCC" w:rsidRPr="00621BF1" w:rsidRDefault="00956A06" w:rsidP="00E21DCC">
            <w:r>
              <w:t>Marc Ruffin,</w:t>
            </w:r>
            <w:r w:rsidRPr="00F03D88">
              <w:rPr>
                <w:lang w:val="en-US"/>
              </w:rPr>
              <w:t xml:space="preserve"> </w:t>
            </w:r>
            <w:proofErr w:type="spellStart"/>
            <w:r>
              <w:rPr>
                <w:lang w:val="en-US"/>
              </w:rPr>
              <w:t>Representant</w:t>
            </w:r>
            <w:proofErr w:type="spellEnd"/>
            <w:r>
              <w:rPr>
                <w:lang w:val="en-US"/>
              </w:rPr>
              <w:t xml:space="preserve"> UNICEF</w:t>
            </w:r>
          </w:p>
        </w:tc>
        <w:tc>
          <w:tcPr>
            <w:tcW w:w="899" w:type="pct"/>
          </w:tcPr>
          <w:p w:rsidR="00E21DCC" w:rsidRPr="00621BF1" w:rsidRDefault="00E21DCC" w:rsidP="00E21DCC">
            <w:pPr>
              <w:jc w:val="center"/>
            </w:pPr>
          </w:p>
        </w:tc>
        <w:tc>
          <w:tcPr>
            <w:tcW w:w="1122" w:type="pct"/>
          </w:tcPr>
          <w:p w:rsidR="00E21DCC" w:rsidRPr="00621BF1" w:rsidRDefault="00E21DCC" w:rsidP="006809A4"/>
        </w:tc>
      </w:tr>
      <w:tr w:rsidR="00E21DCC" w:rsidRPr="00621BF1" w:rsidTr="00F53D6A">
        <w:tc>
          <w:tcPr>
            <w:tcW w:w="1565" w:type="pct"/>
          </w:tcPr>
          <w:p w:rsidR="00070E51" w:rsidRPr="00621BF1" w:rsidRDefault="00070E51" w:rsidP="006809A4"/>
          <w:p w:rsidR="00E21DCC" w:rsidRPr="00621BF1" w:rsidRDefault="00E21DCC" w:rsidP="00070E51">
            <w:pPr>
              <w:jc w:val="center"/>
            </w:pPr>
            <w:r w:rsidRPr="00621BF1">
              <w:t>S</w:t>
            </w:r>
            <w:r w:rsidR="00070E51" w:rsidRPr="00621BF1">
              <w:t>ociété Civile</w:t>
            </w:r>
          </w:p>
        </w:tc>
        <w:tc>
          <w:tcPr>
            <w:tcW w:w="1414" w:type="pct"/>
          </w:tcPr>
          <w:p w:rsidR="00E21DCC" w:rsidRPr="00621BF1" w:rsidRDefault="003562D4" w:rsidP="00E21DCC">
            <w:r>
              <w:t>Aboubacar Sylla POSSAV</w:t>
            </w:r>
          </w:p>
        </w:tc>
        <w:tc>
          <w:tcPr>
            <w:tcW w:w="899" w:type="pct"/>
          </w:tcPr>
          <w:p w:rsidR="00E21DCC" w:rsidRPr="00621BF1" w:rsidRDefault="00E21DCC" w:rsidP="006809A4"/>
        </w:tc>
        <w:tc>
          <w:tcPr>
            <w:tcW w:w="1122" w:type="pct"/>
          </w:tcPr>
          <w:p w:rsidR="00E21DCC" w:rsidRPr="00621BF1" w:rsidRDefault="00E21DCC" w:rsidP="006809A4"/>
        </w:tc>
      </w:tr>
    </w:tbl>
    <w:p w:rsidR="002C6672" w:rsidRPr="00621BF1" w:rsidRDefault="002C6672" w:rsidP="00431B9D">
      <w:pPr>
        <w:spacing w:after="120"/>
        <w:jc w:val="both"/>
        <w:rPr>
          <w:rFonts w:cs="Arial"/>
        </w:rPr>
      </w:pPr>
    </w:p>
    <w:p w:rsidR="0005475F" w:rsidRPr="00621BF1" w:rsidRDefault="0005475F" w:rsidP="00431B9D">
      <w:pPr>
        <w:spacing w:after="120"/>
        <w:jc w:val="both"/>
        <w:rPr>
          <w:rFonts w:cs="Arial"/>
        </w:rPr>
      </w:pPr>
    </w:p>
    <w:p w:rsidR="00AC2A28" w:rsidRPr="00621BF1" w:rsidRDefault="00AC2A28">
      <w:pPr>
        <w:spacing w:after="160" w:line="259" w:lineRule="auto"/>
        <w:rPr>
          <w:rFonts w:eastAsiaTheme="majorEastAsia" w:cstheme="majorBidi"/>
          <w:b/>
          <w:color w:val="0070C0"/>
          <w:sz w:val="24"/>
          <w:szCs w:val="32"/>
          <w:lang w:val="en-US" w:eastAsia="fr-FR"/>
        </w:rPr>
      </w:pPr>
      <w:r w:rsidRPr="00621BF1">
        <w:br w:type="page"/>
      </w:r>
    </w:p>
    <w:p w:rsidR="009A0C92" w:rsidRPr="00621BF1" w:rsidRDefault="009A0C92" w:rsidP="009A0C92">
      <w:pPr>
        <w:pStyle w:val="Titre1"/>
        <w:numPr>
          <w:ilvl w:val="0"/>
          <w:numId w:val="0"/>
        </w:numPr>
        <w:ind w:left="432" w:hanging="432"/>
      </w:pPr>
      <w:bookmarkStart w:id="1" w:name="_Toc458593618"/>
      <w:r w:rsidRPr="00621BF1">
        <w:lastRenderedPageBreak/>
        <w:t>RESUME</w:t>
      </w:r>
      <w:bookmarkEnd w:id="1"/>
    </w:p>
    <w:p w:rsidR="008429BC" w:rsidRPr="00621BF1" w:rsidRDefault="0082102A" w:rsidP="00197EA3">
      <w:pPr>
        <w:pStyle w:val="Corpsdetexte"/>
        <w:spacing w:before="60" w:after="60"/>
        <w:rPr>
          <w:rFonts w:ascii="Gill Sans MT" w:eastAsia="Calibri" w:hAnsi="Gill Sans MT"/>
          <w:sz w:val="22"/>
          <w:szCs w:val="22"/>
          <w:lang w:eastAsia="en-US"/>
        </w:rPr>
      </w:pPr>
      <w:r w:rsidRPr="00621BF1">
        <w:rPr>
          <w:rFonts w:ascii="Gill Sans MT" w:eastAsiaTheme="minorHAnsi" w:hAnsi="Gill Sans MT"/>
          <w:sz w:val="22"/>
          <w:szCs w:val="22"/>
          <w:lang w:eastAsia="en-US"/>
        </w:rPr>
        <w:t>La vaccination constitue une composante essentielle du droit humain à la santé et une responsabilité individuelle, collective et gouvernementale</w:t>
      </w:r>
      <w:r w:rsidRPr="00621BF1">
        <w:rPr>
          <w:rFonts w:ascii="Gill Sans MT" w:eastAsia="Calibri" w:hAnsi="Gill Sans MT"/>
          <w:sz w:val="22"/>
          <w:szCs w:val="22"/>
          <w:lang w:eastAsia="en-US"/>
        </w:rPr>
        <w:t>. On estime qu’elle prévient chaque année 2,5 millions de décès. La vaccination complète contribue pour 40% dans l’atteinte de l’OMD</w:t>
      </w:r>
      <w:r w:rsidRPr="00621BF1">
        <w:rPr>
          <w:rFonts w:ascii="Gill Sans MT" w:eastAsia="Calibri" w:hAnsi="Gill Sans MT"/>
          <w:sz w:val="22"/>
          <w:szCs w:val="22"/>
          <w:vertAlign w:val="superscript"/>
          <w:lang w:eastAsia="en-US"/>
        </w:rPr>
        <w:t>4</w:t>
      </w:r>
      <w:r w:rsidR="00EE7DB6" w:rsidRPr="00621BF1">
        <w:rPr>
          <w:rFonts w:ascii="Gill Sans MT" w:eastAsia="Calibri" w:hAnsi="Gill Sans MT"/>
          <w:sz w:val="22"/>
          <w:szCs w:val="22"/>
          <w:lang w:eastAsia="en-US"/>
        </w:rPr>
        <w:t> /O</w:t>
      </w:r>
      <w:r w:rsidRPr="00621BF1">
        <w:rPr>
          <w:rFonts w:ascii="Gill Sans MT" w:eastAsia="Calibri" w:hAnsi="Gill Sans MT"/>
          <w:sz w:val="22"/>
          <w:szCs w:val="22"/>
          <w:lang w:eastAsia="en-US"/>
        </w:rPr>
        <w:t>DD</w:t>
      </w:r>
      <w:r w:rsidRPr="00621BF1">
        <w:rPr>
          <w:rFonts w:ascii="Gill Sans MT" w:eastAsia="Calibri" w:hAnsi="Gill Sans MT"/>
          <w:sz w:val="22"/>
          <w:szCs w:val="22"/>
          <w:vertAlign w:val="superscript"/>
          <w:lang w:eastAsia="en-US"/>
        </w:rPr>
        <w:t>3</w:t>
      </w:r>
      <w:r w:rsidRPr="00621BF1">
        <w:rPr>
          <w:rFonts w:ascii="Gill Sans MT" w:eastAsia="Calibri" w:hAnsi="Gill Sans MT"/>
          <w:sz w:val="22"/>
          <w:szCs w:val="22"/>
          <w:lang w:eastAsia="en-US"/>
        </w:rPr>
        <w:t xml:space="preserve">. </w:t>
      </w:r>
    </w:p>
    <w:p w:rsidR="000339C4" w:rsidRDefault="0082102A" w:rsidP="00197EA3">
      <w:pPr>
        <w:pStyle w:val="Corpsdetexte"/>
        <w:spacing w:before="60" w:after="60"/>
        <w:rPr>
          <w:rFonts w:ascii="Gill Sans MT" w:hAnsi="Gill Sans MT"/>
          <w:sz w:val="22"/>
          <w:szCs w:val="22"/>
        </w:rPr>
      </w:pPr>
      <w:r w:rsidRPr="00621BF1">
        <w:rPr>
          <w:rFonts w:ascii="Gill Sans MT" w:eastAsiaTheme="minorHAnsi" w:hAnsi="Gill Sans MT"/>
          <w:sz w:val="22"/>
          <w:szCs w:val="22"/>
          <w:lang w:eastAsia="en-US"/>
        </w:rPr>
        <w:t xml:space="preserve">En Guinée, le programme élargi de vaccination est une réalité depuis 1979. Il est intégré au système de santé à structure pyramidale (poste de santé, centre de santé, hôpital préfectoral, hôpital régional, hôpital national). La redynamisation du secteur s’est concrétisée avec le lancement des premiers centres de santé du  Programme Elargi de vaccination, soins de santé primaire et médicaments essentiels (PEV / SSP / ME) à partir de 1988.  Depuis lors, </w:t>
      </w:r>
      <w:r w:rsidR="00197EA3" w:rsidRPr="00621BF1">
        <w:rPr>
          <w:rFonts w:ascii="Gill Sans MT" w:eastAsiaTheme="minorHAnsi" w:hAnsi="Gill Sans MT"/>
          <w:sz w:val="22"/>
          <w:szCs w:val="22"/>
          <w:lang w:eastAsia="en-US"/>
        </w:rPr>
        <w:t xml:space="preserve">avec l’appui de </w:t>
      </w:r>
      <w:r w:rsidRPr="00621BF1">
        <w:rPr>
          <w:rFonts w:ascii="Gill Sans MT" w:eastAsiaTheme="minorHAnsi" w:hAnsi="Gill Sans MT"/>
          <w:sz w:val="22"/>
          <w:szCs w:val="22"/>
          <w:lang w:eastAsia="en-US"/>
        </w:rPr>
        <w:t xml:space="preserve"> </w:t>
      </w:r>
      <w:r w:rsidR="00197EA3" w:rsidRPr="00621BF1">
        <w:rPr>
          <w:rFonts w:ascii="Gill Sans MT" w:eastAsiaTheme="minorHAnsi" w:hAnsi="Gill Sans MT"/>
          <w:sz w:val="22"/>
          <w:szCs w:val="22"/>
          <w:lang w:eastAsia="en-US"/>
        </w:rPr>
        <w:t xml:space="preserve">nombreux partenaires techniques et financiers (PTF) </w:t>
      </w:r>
      <w:r w:rsidRPr="00621BF1">
        <w:rPr>
          <w:rFonts w:ascii="Gill Sans MT" w:eastAsiaTheme="minorHAnsi" w:hAnsi="Gill Sans MT"/>
          <w:sz w:val="22"/>
          <w:szCs w:val="22"/>
          <w:lang w:eastAsia="en-US"/>
        </w:rPr>
        <w:t>le pays a accompli des progrès notables en termes de couverture vaccinale des populations cibles et en termes de contrôle des maladies évitables par la vaccination.</w:t>
      </w:r>
      <w:r w:rsidR="00197EA3" w:rsidRPr="00621BF1">
        <w:rPr>
          <w:rFonts w:ascii="Gill Sans MT" w:eastAsiaTheme="minorHAnsi" w:hAnsi="Gill Sans MT"/>
          <w:sz w:val="22"/>
          <w:szCs w:val="22"/>
          <w:lang w:eastAsia="en-US"/>
        </w:rPr>
        <w:t xml:space="preserve"> </w:t>
      </w:r>
      <w:r w:rsidR="00242CD3" w:rsidRPr="00621BF1">
        <w:rPr>
          <w:rFonts w:ascii="Gill Sans MT" w:eastAsiaTheme="minorHAnsi" w:hAnsi="Gill Sans MT"/>
          <w:sz w:val="22"/>
          <w:szCs w:val="22"/>
          <w:lang w:eastAsia="en-US"/>
        </w:rPr>
        <w:t xml:space="preserve"> </w:t>
      </w:r>
      <w:r w:rsidR="000339C4" w:rsidRPr="00A817B9">
        <w:rPr>
          <w:rFonts w:ascii="Gill Sans MT" w:eastAsiaTheme="minorHAnsi" w:hAnsi="Gill Sans MT"/>
          <w:sz w:val="22"/>
          <w:szCs w:val="22"/>
          <w:lang w:eastAsia="en-US"/>
        </w:rPr>
        <w:t xml:space="preserve">Toutefois, </w:t>
      </w:r>
      <w:r w:rsidR="000339C4" w:rsidRPr="00AF7FCB">
        <w:rPr>
          <w:rFonts w:ascii="Gill Sans MT" w:eastAsiaTheme="minorHAnsi" w:hAnsi="Gill Sans MT"/>
          <w:sz w:val="22"/>
          <w:szCs w:val="22"/>
          <w:lang w:eastAsia="en-US"/>
        </w:rPr>
        <w:t>l</w:t>
      </w:r>
      <w:r w:rsidR="000339C4" w:rsidRPr="00A817B9">
        <w:rPr>
          <w:rFonts w:ascii="Gill Sans MT" w:eastAsiaTheme="minorHAnsi" w:hAnsi="Gill Sans MT"/>
          <w:sz w:val="22"/>
          <w:szCs w:val="22"/>
          <w:lang w:eastAsia="en-US"/>
        </w:rPr>
        <w:t xml:space="preserve">a survenue de </w:t>
      </w:r>
      <w:r w:rsidR="000339C4" w:rsidRPr="00A817B9">
        <w:rPr>
          <w:rFonts w:ascii="Gill Sans MT" w:hAnsi="Gill Sans MT"/>
          <w:bCs/>
          <w:sz w:val="22"/>
          <w:szCs w:val="22"/>
        </w:rPr>
        <w:t xml:space="preserve">l’épidémie de la maladie à virus Ebola </w:t>
      </w:r>
      <w:r w:rsidR="000339C4">
        <w:rPr>
          <w:rFonts w:ascii="Gill Sans MT" w:hAnsi="Gill Sans MT"/>
          <w:bCs/>
          <w:sz w:val="22"/>
          <w:szCs w:val="22"/>
        </w:rPr>
        <w:t xml:space="preserve">en </w:t>
      </w:r>
      <w:r w:rsidR="000339C4" w:rsidRPr="00A817B9">
        <w:rPr>
          <w:rFonts w:ascii="Gill Sans MT" w:hAnsi="Gill Sans MT"/>
          <w:bCs/>
          <w:sz w:val="22"/>
          <w:szCs w:val="22"/>
        </w:rPr>
        <w:t>fin 2013 a eu un impact sur l’état de santé de la population</w:t>
      </w:r>
      <w:r w:rsidR="000339C4">
        <w:rPr>
          <w:rFonts w:ascii="Gill Sans MT" w:hAnsi="Gill Sans MT"/>
          <w:bCs/>
          <w:sz w:val="22"/>
          <w:szCs w:val="22"/>
        </w:rPr>
        <w:t xml:space="preserve"> avec des </w:t>
      </w:r>
      <w:r w:rsidR="000339C4" w:rsidRPr="00A817B9">
        <w:rPr>
          <w:rFonts w:ascii="Gill Sans MT" w:hAnsi="Gill Sans MT"/>
          <w:bCs/>
          <w:sz w:val="22"/>
          <w:szCs w:val="22"/>
        </w:rPr>
        <w:t>effets négatifs sur les prestations de services de santé.</w:t>
      </w:r>
      <w:r w:rsidR="000339C4" w:rsidRPr="00A817B9">
        <w:rPr>
          <w:rFonts w:ascii="Gill Sans MT" w:hAnsi="Gill Sans MT"/>
          <w:sz w:val="22"/>
          <w:szCs w:val="22"/>
        </w:rPr>
        <w:t xml:space="preserve"> Les activités de vaccination </w:t>
      </w:r>
      <w:r w:rsidR="000339C4">
        <w:rPr>
          <w:rFonts w:ascii="Gill Sans MT" w:hAnsi="Gill Sans MT"/>
          <w:sz w:val="22"/>
          <w:szCs w:val="22"/>
        </w:rPr>
        <w:t>o</w:t>
      </w:r>
      <w:r w:rsidR="000339C4" w:rsidRPr="00A817B9">
        <w:rPr>
          <w:rFonts w:ascii="Gill Sans MT" w:hAnsi="Gill Sans MT"/>
          <w:sz w:val="22"/>
          <w:szCs w:val="22"/>
        </w:rPr>
        <w:t xml:space="preserve">nt été affectées avec </w:t>
      </w:r>
      <w:r w:rsidR="000339C4">
        <w:rPr>
          <w:rFonts w:ascii="Gill Sans MT" w:hAnsi="Gill Sans MT"/>
          <w:sz w:val="22"/>
          <w:szCs w:val="22"/>
        </w:rPr>
        <w:t xml:space="preserve">un </w:t>
      </w:r>
      <w:r w:rsidR="000339C4" w:rsidRPr="00A817B9">
        <w:rPr>
          <w:rFonts w:ascii="Gill Sans MT" w:hAnsi="Gill Sans MT"/>
          <w:sz w:val="22"/>
          <w:szCs w:val="22"/>
        </w:rPr>
        <w:t>taux de couverture du Penta3 réduit de 30% entre 2013 et 2014.</w:t>
      </w:r>
    </w:p>
    <w:p w:rsidR="0082102A" w:rsidRPr="00621BF1" w:rsidRDefault="00242CD3" w:rsidP="00197EA3">
      <w:pPr>
        <w:pStyle w:val="Corpsdetexte"/>
        <w:spacing w:before="60" w:after="60"/>
        <w:rPr>
          <w:rFonts w:ascii="Gill Sans MT" w:eastAsiaTheme="minorHAnsi" w:hAnsi="Gill Sans MT"/>
          <w:sz w:val="22"/>
          <w:szCs w:val="22"/>
          <w:lang w:eastAsia="en-US"/>
        </w:rPr>
      </w:pPr>
      <w:r w:rsidRPr="00621BF1">
        <w:rPr>
          <w:rFonts w:ascii="Gill Sans MT" w:eastAsiaTheme="minorHAnsi" w:hAnsi="Gill Sans MT"/>
          <w:sz w:val="22"/>
          <w:szCs w:val="22"/>
          <w:lang w:eastAsia="en-US"/>
        </w:rPr>
        <w:t xml:space="preserve">A l’heure de l’introduction des nouveaux vaccins, l’immunisation des enfants est un véritable défi dont le relèvement passe par une planification à long terme et surtout </w:t>
      </w:r>
      <w:r w:rsidR="000339C4">
        <w:rPr>
          <w:rFonts w:ascii="Gill Sans MT" w:eastAsiaTheme="minorHAnsi" w:hAnsi="Gill Sans MT"/>
          <w:sz w:val="22"/>
          <w:szCs w:val="22"/>
          <w:lang w:eastAsia="en-US"/>
        </w:rPr>
        <w:t xml:space="preserve">par </w:t>
      </w:r>
      <w:r w:rsidRPr="00621BF1">
        <w:rPr>
          <w:rFonts w:ascii="Gill Sans MT" w:eastAsiaTheme="minorHAnsi" w:hAnsi="Gill Sans MT"/>
          <w:sz w:val="22"/>
          <w:szCs w:val="22"/>
          <w:lang w:eastAsia="en-US"/>
        </w:rPr>
        <w:t xml:space="preserve">la mobilisation des ressources nécessaires à la réalisation des activités planifiées. Profitant des opportunités offertes par GAVI et conformément aux nouvelles orientations du  Plan d’Action Mondiale pour les Vaccins, (GVAP),  la Guinée avec l’appui des partenaires se propose d’élaborer son </w:t>
      </w:r>
      <w:r w:rsidR="00197EA3" w:rsidRPr="00621BF1">
        <w:rPr>
          <w:rFonts w:ascii="Gill Sans MT" w:eastAsiaTheme="minorHAnsi" w:hAnsi="Gill Sans MT"/>
          <w:sz w:val="22"/>
          <w:szCs w:val="22"/>
          <w:lang w:eastAsia="en-US"/>
        </w:rPr>
        <w:t>P</w:t>
      </w:r>
      <w:r w:rsidRPr="00621BF1">
        <w:rPr>
          <w:rFonts w:ascii="Gill Sans MT" w:eastAsiaTheme="minorHAnsi" w:hAnsi="Gill Sans MT"/>
          <w:sz w:val="22"/>
          <w:szCs w:val="22"/>
          <w:lang w:eastAsia="en-US"/>
        </w:rPr>
        <w:t xml:space="preserve">lan </w:t>
      </w:r>
      <w:r w:rsidR="00197EA3" w:rsidRPr="00621BF1">
        <w:rPr>
          <w:rFonts w:ascii="Gill Sans MT" w:eastAsiaTheme="minorHAnsi" w:hAnsi="Gill Sans MT"/>
          <w:sz w:val="22"/>
          <w:szCs w:val="22"/>
          <w:lang w:eastAsia="en-US"/>
        </w:rPr>
        <w:t>P</w:t>
      </w:r>
      <w:r w:rsidRPr="00621BF1">
        <w:rPr>
          <w:rFonts w:ascii="Gill Sans MT" w:eastAsiaTheme="minorHAnsi" w:hAnsi="Gill Sans MT"/>
          <w:sz w:val="22"/>
          <w:szCs w:val="22"/>
          <w:lang w:eastAsia="en-US"/>
        </w:rPr>
        <w:t>luri</w:t>
      </w:r>
      <w:r w:rsidR="00197EA3" w:rsidRPr="00621BF1">
        <w:rPr>
          <w:rFonts w:ascii="Gill Sans MT" w:eastAsiaTheme="minorHAnsi" w:hAnsi="Gill Sans MT"/>
          <w:sz w:val="22"/>
          <w:szCs w:val="22"/>
          <w:lang w:eastAsia="en-US"/>
        </w:rPr>
        <w:t xml:space="preserve"> A</w:t>
      </w:r>
      <w:r w:rsidRPr="00621BF1">
        <w:rPr>
          <w:rFonts w:ascii="Gill Sans MT" w:eastAsiaTheme="minorHAnsi" w:hAnsi="Gill Sans MT"/>
          <w:sz w:val="22"/>
          <w:szCs w:val="22"/>
          <w:lang w:eastAsia="en-US"/>
        </w:rPr>
        <w:t>nnuel</w:t>
      </w:r>
      <w:r w:rsidR="00197EA3" w:rsidRPr="00621BF1">
        <w:rPr>
          <w:rFonts w:ascii="Gill Sans MT" w:eastAsiaTheme="minorHAnsi" w:hAnsi="Gill Sans MT"/>
          <w:sz w:val="22"/>
          <w:szCs w:val="22"/>
          <w:lang w:eastAsia="en-US"/>
        </w:rPr>
        <w:t xml:space="preserve"> Complet </w:t>
      </w:r>
      <w:r w:rsidRPr="00621BF1">
        <w:rPr>
          <w:rFonts w:ascii="Gill Sans MT" w:eastAsiaTheme="minorHAnsi" w:hAnsi="Gill Sans MT"/>
          <w:sz w:val="22"/>
          <w:szCs w:val="22"/>
          <w:lang w:eastAsia="en-US"/>
        </w:rPr>
        <w:t xml:space="preserve"> </w:t>
      </w:r>
      <w:r w:rsidR="00197EA3" w:rsidRPr="00621BF1">
        <w:rPr>
          <w:rFonts w:ascii="Gill Sans MT" w:eastAsiaTheme="minorHAnsi" w:hAnsi="Gill Sans MT"/>
          <w:sz w:val="22"/>
          <w:szCs w:val="22"/>
          <w:lang w:eastAsia="en-US"/>
        </w:rPr>
        <w:t xml:space="preserve">(PPAC) </w:t>
      </w:r>
      <w:r w:rsidRPr="00621BF1">
        <w:rPr>
          <w:rFonts w:ascii="Gill Sans MT" w:eastAsiaTheme="minorHAnsi" w:hAnsi="Gill Sans MT"/>
          <w:sz w:val="22"/>
          <w:szCs w:val="22"/>
          <w:lang w:eastAsia="en-US"/>
        </w:rPr>
        <w:t>2016-2020</w:t>
      </w:r>
      <w:r w:rsidR="00197EA3" w:rsidRPr="00621BF1">
        <w:rPr>
          <w:rFonts w:ascii="Gill Sans MT" w:eastAsiaTheme="minorHAnsi" w:hAnsi="Gill Sans MT"/>
          <w:sz w:val="22"/>
          <w:szCs w:val="22"/>
          <w:lang w:eastAsia="en-US"/>
        </w:rPr>
        <w:t xml:space="preserve">. </w:t>
      </w:r>
      <w:r w:rsidR="000339C4">
        <w:rPr>
          <w:rFonts w:ascii="Gill Sans MT" w:eastAsiaTheme="minorHAnsi" w:hAnsi="Gill Sans MT"/>
          <w:sz w:val="22"/>
          <w:szCs w:val="22"/>
          <w:lang w:eastAsia="en-US"/>
        </w:rPr>
        <w:t xml:space="preserve"> </w:t>
      </w:r>
      <w:r w:rsidR="00197EA3" w:rsidRPr="00621BF1">
        <w:rPr>
          <w:rFonts w:ascii="Gill Sans MT" w:eastAsiaTheme="minorHAnsi" w:hAnsi="Gill Sans MT"/>
          <w:sz w:val="22"/>
          <w:szCs w:val="22"/>
          <w:lang w:eastAsia="en-US"/>
        </w:rPr>
        <w:t xml:space="preserve">En rappel, la </w:t>
      </w:r>
      <w:r w:rsidRPr="00621BF1">
        <w:rPr>
          <w:rFonts w:ascii="Gill Sans MT" w:eastAsiaTheme="minorHAnsi" w:hAnsi="Gill Sans MT"/>
          <w:sz w:val="22"/>
          <w:szCs w:val="22"/>
          <w:lang w:eastAsia="en-US"/>
        </w:rPr>
        <w:t xml:space="preserve">République de Guinée à l’instar des autres pays s’est appropriée des directives et outils pour élaborer le premier PPAC couvrant la période 2001-2005, le second  courant  2007-2011 et le 3éme courant  2011-2015. </w:t>
      </w:r>
      <w:r w:rsidR="000339C4">
        <w:rPr>
          <w:rFonts w:ascii="Gill Sans MT" w:eastAsiaTheme="minorHAnsi" w:hAnsi="Gill Sans MT"/>
          <w:sz w:val="22"/>
          <w:szCs w:val="22"/>
          <w:lang w:eastAsia="en-US"/>
        </w:rPr>
        <w:t xml:space="preserve"> </w:t>
      </w:r>
      <w:r w:rsidR="000339C4" w:rsidRPr="00621BF1">
        <w:rPr>
          <w:rFonts w:ascii="Gill Sans MT" w:eastAsiaTheme="minorHAnsi" w:hAnsi="Gill Sans MT"/>
          <w:sz w:val="22"/>
          <w:szCs w:val="22"/>
          <w:lang w:eastAsia="en-US"/>
        </w:rPr>
        <w:t xml:space="preserve">Pour ce quatrième exercice, une équipe pluridisciplinaire composée de responsables des Ministères de la Santé, de l’Economie et des Finances, des Affaires Sociales, </w:t>
      </w:r>
      <w:r w:rsidR="000339C4">
        <w:rPr>
          <w:rFonts w:ascii="Gill Sans MT" w:eastAsiaTheme="minorHAnsi" w:hAnsi="Gill Sans MT"/>
          <w:sz w:val="22"/>
          <w:szCs w:val="22"/>
          <w:lang w:eastAsia="en-US"/>
        </w:rPr>
        <w:t xml:space="preserve">des députés de l’assemblée nationale, </w:t>
      </w:r>
      <w:r w:rsidR="000339C4" w:rsidRPr="00621BF1">
        <w:rPr>
          <w:rFonts w:ascii="Gill Sans MT" w:eastAsiaTheme="minorHAnsi" w:hAnsi="Gill Sans MT"/>
          <w:sz w:val="22"/>
          <w:szCs w:val="22"/>
          <w:lang w:eastAsia="en-US"/>
        </w:rPr>
        <w:t>de</w:t>
      </w:r>
      <w:r w:rsidR="000339C4">
        <w:rPr>
          <w:rFonts w:ascii="Gill Sans MT" w:eastAsiaTheme="minorHAnsi" w:hAnsi="Gill Sans MT"/>
          <w:sz w:val="22"/>
          <w:szCs w:val="22"/>
          <w:lang w:eastAsia="en-US"/>
        </w:rPr>
        <w:t>s</w:t>
      </w:r>
      <w:r w:rsidR="000339C4" w:rsidRPr="00621BF1">
        <w:rPr>
          <w:rFonts w:ascii="Gill Sans MT" w:eastAsiaTheme="minorHAnsi" w:hAnsi="Gill Sans MT"/>
          <w:sz w:val="22"/>
          <w:szCs w:val="22"/>
          <w:lang w:eastAsia="en-US"/>
        </w:rPr>
        <w:t xml:space="preserve"> partenaires techniques et financiers et de représentants de la Société civile a été mise en place et a permis l’élaboration du document dont les objectifs sont </w:t>
      </w:r>
      <w:r w:rsidR="000339C4">
        <w:rPr>
          <w:rFonts w:ascii="Gill Sans MT" w:eastAsiaTheme="minorHAnsi" w:hAnsi="Gill Sans MT"/>
          <w:sz w:val="22"/>
          <w:szCs w:val="22"/>
          <w:lang w:eastAsia="en-US"/>
        </w:rPr>
        <w:t xml:space="preserve">alignés à ceux </w:t>
      </w:r>
      <w:r w:rsidR="000339C4" w:rsidRPr="00621BF1">
        <w:rPr>
          <w:rFonts w:ascii="Gill Sans MT" w:eastAsiaTheme="minorHAnsi" w:hAnsi="Gill Sans MT"/>
          <w:sz w:val="22"/>
          <w:szCs w:val="22"/>
          <w:lang w:eastAsia="en-US"/>
        </w:rPr>
        <w:t xml:space="preserve">du GVAP 2011-2020, du Plan de Développement Sanitaire (PNDS) 2015-2024 et </w:t>
      </w:r>
      <w:r w:rsidR="000339C4">
        <w:rPr>
          <w:rFonts w:ascii="Gill Sans MT" w:eastAsiaTheme="minorHAnsi" w:hAnsi="Gill Sans MT"/>
          <w:sz w:val="22"/>
          <w:szCs w:val="22"/>
          <w:lang w:eastAsia="en-US"/>
        </w:rPr>
        <w:t xml:space="preserve">du Plan de relance et de résilience du système de santé </w:t>
      </w:r>
      <w:r w:rsidR="000339C4" w:rsidRPr="00621BF1">
        <w:rPr>
          <w:rFonts w:ascii="Gill Sans MT" w:eastAsiaTheme="minorHAnsi" w:hAnsi="Gill Sans MT"/>
          <w:sz w:val="22"/>
          <w:szCs w:val="22"/>
          <w:lang w:eastAsia="en-US"/>
        </w:rPr>
        <w:t>2015-2017</w:t>
      </w:r>
      <w:r w:rsidR="000339C4">
        <w:rPr>
          <w:rFonts w:ascii="Gill Sans MT" w:eastAsiaTheme="minorHAnsi" w:hAnsi="Gill Sans MT"/>
          <w:sz w:val="22"/>
          <w:szCs w:val="22"/>
          <w:lang w:eastAsia="en-US"/>
        </w:rPr>
        <w:t>.</w:t>
      </w:r>
      <w:r w:rsidR="0082102A" w:rsidRPr="00621BF1">
        <w:rPr>
          <w:rFonts w:ascii="Gill Sans MT" w:eastAsiaTheme="minorHAnsi" w:hAnsi="Gill Sans MT"/>
          <w:sz w:val="22"/>
          <w:szCs w:val="22"/>
          <w:lang w:eastAsia="en-US"/>
        </w:rPr>
        <w:t xml:space="preserve">  </w:t>
      </w:r>
    </w:p>
    <w:p w:rsidR="0082102A" w:rsidRPr="00621BF1" w:rsidRDefault="0082102A" w:rsidP="00197EA3">
      <w:pPr>
        <w:spacing w:before="60" w:after="60" w:line="240" w:lineRule="auto"/>
        <w:jc w:val="both"/>
        <w:rPr>
          <w:rFonts w:cs="Arial"/>
        </w:rPr>
      </w:pPr>
      <w:r w:rsidRPr="00621BF1">
        <w:rPr>
          <w:rFonts w:cs="Arial"/>
        </w:rPr>
        <w:t>Les objectifs spécifiques du PPAC 2016-2020 sont définis pour les composantes suivantes:</w:t>
      </w:r>
    </w:p>
    <w:p w:rsidR="0082102A" w:rsidRPr="00621BF1" w:rsidRDefault="0082102A" w:rsidP="00197EA3">
      <w:pPr>
        <w:spacing w:before="60" w:after="60" w:line="240" w:lineRule="auto"/>
        <w:rPr>
          <w:rFonts w:eastAsia="Calibri" w:cs="Arial"/>
          <w:b/>
        </w:rPr>
      </w:pPr>
      <w:r w:rsidRPr="00621BF1">
        <w:rPr>
          <w:rFonts w:eastAsia="Calibri" w:cs="Arial"/>
          <w:b/>
        </w:rPr>
        <w:t>Objectifs spécifiques par rapport au PEV systématique</w:t>
      </w:r>
    </w:p>
    <w:p w:rsidR="0082102A" w:rsidRPr="00621BF1" w:rsidRDefault="0082102A" w:rsidP="00197EA3">
      <w:pPr>
        <w:pStyle w:val="Lgende"/>
        <w:numPr>
          <w:ilvl w:val="0"/>
          <w:numId w:val="35"/>
        </w:numPr>
        <w:spacing w:before="60" w:after="60"/>
        <w:ind w:left="360"/>
        <w:rPr>
          <w:rFonts w:eastAsia="Calibri"/>
          <w:b/>
          <w:bCs/>
          <w:i w:val="0"/>
          <w:sz w:val="22"/>
          <w:szCs w:val="22"/>
          <w:lang w:val="fr-FR"/>
        </w:rPr>
      </w:pPr>
      <w:r w:rsidRPr="00621BF1">
        <w:rPr>
          <w:rFonts w:eastAsia="Calibri"/>
          <w:i w:val="0"/>
          <w:sz w:val="22"/>
          <w:szCs w:val="22"/>
          <w:lang w:val="fr-FR"/>
        </w:rPr>
        <w:t xml:space="preserve">D’ici à 2020, augmenter la couverture des enfants complètement vaccinés (DTC3-Hepb3/Hib3 et en VAR) de 53,4% à au moins 90% au niveau national et  à 80% dans tous les 38 districts sanitaires  de façon équitable.   </w:t>
      </w:r>
    </w:p>
    <w:p w:rsidR="0082102A" w:rsidRPr="00621BF1" w:rsidRDefault="0082102A" w:rsidP="00197EA3">
      <w:pPr>
        <w:pStyle w:val="Pieddepage"/>
        <w:numPr>
          <w:ilvl w:val="0"/>
          <w:numId w:val="35"/>
        </w:numPr>
        <w:tabs>
          <w:tab w:val="clear" w:pos="4680"/>
          <w:tab w:val="clear" w:pos="9360"/>
        </w:tabs>
        <w:spacing w:before="60" w:after="60"/>
        <w:ind w:left="360"/>
        <w:jc w:val="both"/>
        <w:rPr>
          <w:rFonts w:eastAsia="Calibri" w:cs="Arial"/>
          <w:lang w:eastAsia="en-US"/>
        </w:rPr>
      </w:pPr>
      <w:r w:rsidRPr="00621BF1">
        <w:rPr>
          <w:rFonts w:eastAsia="Calibri" w:cs="Arial"/>
          <w:lang w:eastAsia="en-US"/>
        </w:rPr>
        <w:t>D’ici à fin 2020, 100% des Districts Sanitaires ont introduit les nouveaux vaccins contre le pneumocoque, le rota virus, HPV, RR, Ebola etc.</w:t>
      </w:r>
    </w:p>
    <w:p w:rsidR="0082102A" w:rsidRPr="00621BF1" w:rsidRDefault="0082102A" w:rsidP="00197EA3">
      <w:pPr>
        <w:spacing w:before="60" w:after="60" w:line="240" w:lineRule="auto"/>
        <w:rPr>
          <w:rFonts w:eastAsia="Calibri" w:cs="Arial"/>
          <w:b/>
        </w:rPr>
      </w:pPr>
      <w:r w:rsidRPr="00621BF1">
        <w:rPr>
          <w:rFonts w:eastAsia="Calibri" w:cs="Arial"/>
          <w:b/>
        </w:rPr>
        <w:t>Objectifs spécifiques par rapport aux vaccinations supplémentaires</w:t>
      </w:r>
    </w:p>
    <w:p w:rsidR="0082102A" w:rsidRPr="00621BF1" w:rsidRDefault="0082102A" w:rsidP="00197EA3">
      <w:pPr>
        <w:pStyle w:val="Pieddepage"/>
        <w:numPr>
          <w:ilvl w:val="0"/>
          <w:numId w:val="37"/>
        </w:numPr>
        <w:tabs>
          <w:tab w:val="clear" w:pos="4680"/>
          <w:tab w:val="clear" w:pos="9360"/>
        </w:tabs>
        <w:spacing w:before="60" w:after="60"/>
        <w:jc w:val="both"/>
        <w:rPr>
          <w:rFonts w:eastAsia="Calibri" w:cs="Arial"/>
          <w:lang w:eastAsia="en-US"/>
        </w:rPr>
      </w:pPr>
      <w:r w:rsidRPr="00621BF1">
        <w:rPr>
          <w:rFonts w:eastAsia="Calibri" w:cs="Arial"/>
          <w:lang w:eastAsia="en-US"/>
        </w:rPr>
        <w:t xml:space="preserve">D’ici à fin 2020, les AVS (Polio, rougeole, Méningite, Fièvre jaune, Tétanos) organisées atteignent au moins 95% de leurs cibles. </w:t>
      </w:r>
    </w:p>
    <w:p w:rsidR="0082102A" w:rsidRPr="00621BF1" w:rsidRDefault="0082102A" w:rsidP="00197EA3">
      <w:pPr>
        <w:spacing w:before="60" w:after="60" w:line="240" w:lineRule="auto"/>
        <w:rPr>
          <w:rFonts w:eastAsia="Calibri" w:cs="Arial"/>
          <w:b/>
        </w:rPr>
      </w:pPr>
      <w:r w:rsidRPr="00621BF1">
        <w:rPr>
          <w:rFonts w:eastAsia="Calibri" w:cs="Arial"/>
          <w:b/>
        </w:rPr>
        <w:t>Objectifs spécifiques par rapport à la gestion des données</w:t>
      </w:r>
    </w:p>
    <w:p w:rsidR="0082102A" w:rsidRPr="00621BF1" w:rsidRDefault="0082102A" w:rsidP="00197EA3">
      <w:pPr>
        <w:pStyle w:val="Corpsdetexte"/>
        <w:spacing w:before="60" w:after="60"/>
        <w:rPr>
          <w:rFonts w:ascii="Gill Sans MT" w:eastAsia="Calibri" w:hAnsi="Gill Sans MT"/>
          <w:sz w:val="22"/>
          <w:szCs w:val="22"/>
          <w:lang w:eastAsia="en-US"/>
        </w:rPr>
      </w:pPr>
      <w:r w:rsidRPr="00621BF1">
        <w:rPr>
          <w:rFonts w:ascii="Gill Sans MT" w:eastAsia="Calibri" w:hAnsi="Gill Sans MT"/>
          <w:sz w:val="22"/>
          <w:szCs w:val="22"/>
          <w:lang w:eastAsia="en-US"/>
        </w:rPr>
        <w:t xml:space="preserve">D’ici à fin 2020, au moins 90% des districts sanitaires  fournissent des données de qualité </w:t>
      </w:r>
      <w:r w:rsidR="000339C4">
        <w:rPr>
          <w:rFonts w:ascii="Gill Sans MT" w:eastAsia="Calibri" w:hAnsi="Gill Sans MT"/>
          <w:sz w:val="22"/>
          <w:szCs w:val="22"/>
          <w:lang w:eastAsia="en-US"/>
        </w:rPr>
        <w:t>et à temps</w:t>
      </w:r>
      <w:r w:rsidRPr="00621BF1">
        <w:rPr>
          <w:rFonts w:ascii="Gill Sans MT" w:eastAsia="Calibri" w:hAnsi="Gill Sans MT"/>
          <w:sz w:val="22"/>
          <w:szCs w:val="22"/>
          <w:lang w:eastAsia="en-US"/>
        </w:rPr>
        <w:t>.</w:t>
      </w:r>
    </w:p>
    <w:p w:rsidR="0082102A" w:rsidRPr="00621BF1" w:rsidRDefault="0082102A" w:rsidP="00197EA3">
      <w:pPr>
        <w:pStyle w:val="Corpsdetexte"/>
        <w:spacing w:before="60" w:after="60"/>
        <w:rPr>
          <w:rFonts w:ascii="Gill Sans MT" w:eastAsia="Calibri" w:hAnsi="Gill Sans MT"/>
          <w:b/>
          <w:sz w:val="22"/>
          <w:szCs w:val="22"/>
          <w:lang w:eastAsia="en-US"/>
        </w:rPr>
      </w:pPr>
      <w:r w:rsidRPr="00621BF1">
        <w:rPr>
          <w:rFonts w:ascii="Gill Sans MT" w:eastAsia="Calibri" w:hAnsi="Gill Sans MT"/>
          <w:b/>
          <w:sz w:val="22"/>
          <w:szCs w:val="22"/>
          <w:lang w:eastAsia="en-US"/>
        </w:rPr>
        <w:t>Objectifs spécifiques par rapport à la gestion efficace des vaccins</w:t>
      </w:r>
    </w:p>
    <w:p w:rsidR="0082102A" w:rsidRPr="00621BF1" w:rsidRDefault="0082102A" w:rsidP="00197EA3">
      <w:pPr>
        <w:pStyle w:val="Pieddepage"/>
        <w:numPr>
          <w:ilvl w:val="0"/>
          <w:numId w:val="34"/>
        </w:numPr>
        <w:tabs>
          <w:tab w:val="clear" w:pos="4680"/>
          <w:tab w:val="clear" w:pos="9360"/>
        </w:tabs>
        <w:spacing w:before="60" w:after="60"/>
        <w:jc w:val="both"/>
        <w:rPr>
          <w:rFonts w:eastAsiaTheme="minorHAnsi"/>
          <w:bCs/>
          <w:lang w:eastAsia="en-US"/>
        </w:rPr>
      </w:pPr>
      <w:r w:rsidRPr="00621BF1">
        <w:rPr>
          <w:rFonts w:eastAsia="Calibri" w:cs="Arial"/>
          <w:lang w:eastAsia="en-US"/>
        </w:rPr>
        <w:t>D'ici à fin 2020, augmenter de 37% à 80% la gestion efficace des vaccins (GEV) à tous les niveaux</w:t>
      </w:r>
      <w:r w:rsidRPr="00621BF1">
        <w:rPr>
          <w:rFonts w:eastAsiaTheme="minorHAnsi"/>
          <w:bCs/>
          <w:lang w:eastAsia="en-US"/>
        </w:rPr>
        <w:t xml:space="preserve"> ; </w:t>
      </w:r>
    </w:p>
    <w:p w:rsidR="0082102A" w:rsidRPr="00621BF1" w:rsidRDefault="0082102A" w:rsidP="00197EA3">
      <w:pPr>
        <w:pStyle w:val="Pieddepage"/>
        <w:numPr>
          <w:ilvl w:val="0"/>
          <w:numId w:val="34"/>
        </w:numPr>
        <w:tabs>
          <w:tab w:val="clear" w:pos="4680"/>
          <w:tab w:val="clear" w:pos="9360"/>
        </w:tabs>
        <w:spacing w:before="60" w:after="60"/>
        <w:jc w:val="both"/>
        <w:rPr>
          <w:rFonts w:eastAsia="Calibri" w:cs="Arial"/>
          <w:lang w:eastAsia="en-US"/>
        </w:rPr>
      </w:pPr>
      <w:r w:rsidRPr="00621BF1">
        <w:rPr>
          <w:rFonts w:eastAsia="Calibri" w:cs="Arial"/>
          <w:lang w:eastAsia="en-US"/>
        </w:rPr>
        <w:t>D’ici 2020, développer et mettre en œuvre un plan de gestion des déchets biomédicaux suivant les normes de l’OMS et environnementales.</w:t>
      </w:r>
    </w:p>
    <w:p w:rsidR="0082102A" w:rsidRPr="00621BF1" w:rsidRDefault="0082102A" w:rsidP="00197EA3">
      <w:pPr>
        <w:pStyle w:val="Corpsdetexte"/>
        <w:spacing w:before="60" w:after="60"/>
        <w:rPr>
          <w:rFonts w:ascii="Gill Sans MT" w:eastAsia="Calibri" w:hAnsi="Gill Sans MT"/>
          <w:b/>
          <w:sz w:val="22"/>
          <w:szCs w:val="22"/>
          <w:lang w:eastAsia="en-US"/>
        </w:rPr>
      </w:pPr>
      <w:r w:rsidRPr="00621BF1">
        <w:rPr>
          <w:rFonts w:ascii="Gill Sans MT" w:eastAsia="Calibri" w:hAnsi="Gill Sans MT"/>
          <w:b/>
          <w:sz w:val="22"/>
          <w:szCs w:val="22"/>
          <w:lang w:eastAsia="en-US"/>
        </w:rPr>
        <w:t>Objectifs spécifiques par rapport à la Surveillance des maladies cibles du PEV</w:t>
      </w:r>
    </w:p>
    <w:p w:rsidR="0082102A" w:rsidRPr="00621BF1" w:rsidRDefault="0082102A" w:rsidP="00197EA3">
      <w:pPr>
        <w:pStyle w:val="Pieddepage"/>
        <w:numPr>
          <w:ilvl w:val="0"/>
          <w:numId w:val="34"/>
        </w:numPr>
        <w:tabs>
          <w:tab w:val="clear" w:pos="4680"/>
          <w:tab w:val="clear" w:pos="9360"/>
        </w:tabs>
        <w:spacing w:before="60" w:after="60"/>
        <w:jc w:val="both"/>
        <w:rPr>
          <w:rFonts w:eastAsiaTheme="minorHAnsi"/>
          <w:bCs/>
          <w:lang w:eastAsia="en-US"/>
        </w:rPr>
      </w:pPr>
      <w:r w:rsidRPr="00621BF1">
        <w:rPr>
          <w:rFonts w:eastAsiaTheme="minorHAnsi"/>
          <w:bCs/>
          <w:lang w:eastAsia="en-US"/>
        </w:rPr>
        <w:t>D'ici fin 2018, atteindre les indicateurs de surveillance des PFA dans le cadre de l'éradication de la poliomyélite.</w:t>
      </w:r>
    </w:p>
    <w:p w:rsidR="0082102A" w:rsidRPr="00621BF1" w:rsidRDefault="0082102A" w:rsidP="00197EA3">
      <w:pPr>
        <w:pStyle w:val="Pieddepage"/>
        <w:numPr>
          <w:ilvl w:val="0"/>
          <w:numId w:val="34"/>
        </w:numPr>
        <w:tabs>
          <w:tab w:val="clear" w:pos="4680"/>
          <w:tab w:val="clear" w:pos="9360"/>
        </w:tabs>
        <w:spacing w:before="60" w:after="60"/>
        <w:jc w:val="both"/>
        <w:rPr>
          <w:rFonts w:eastAsiaTheme="minorHAnsi"/>
          <w:bCs/>
          <w:lang w:eastAsia="en-US"/>
        </w:rPr>
      </w:pPr>
      <w:r w:rsidRPr="00621BF1">
        <w:rPr>
          <w:rFonts w:eastAsiaTheme="minorHAnsi"/>
          <w:bCs/>
          <w:lang w:eastAsia="en-US"/>
        </w:rPr>
        <w:lastRenderedPageBreak/>
        <w:t>D’ici fin 2020, atteindre les indicateurs de la surveillance de la rougeole, de la fièvre jaune, de la méningite, de la coqueluche et de l’élimination du TMN.</w:t>
      </w:r>
    </w:p>
    <w:p w:rsidR="0082102A" w:rsidRPr="00621BF1" w:rsidRDefault="0082102A" w:rsidP="00197EA3">
      <w:pPr>
        <w:pStyle w:val="Pieddepage"/>
        <w:numPr>
          <w:ilvl w:val="0"/>
          <w:numId w:val="34"/>
        </w:numPr>
        <w:tabs>
          <w:tab w:val="clear" w:pos="4680"/>
          <w:tab w:val="clear" w:pos="9360"/>
        </w:tabs>
        <w:spacing w:before="60" w:after="60"/>
        <w:jc w:val="both"/>
        <w:rPr>
          <w:rFonts w:eastAsiaTheme="minorHAnsi"/>
          <w:bCs/>
          <w:lang w:eastAsia="en-US"/>
        </w:rPr>
      </w:pPr>
      <w:r w:rsidRPr="00621BF1">
        <w:rPr>
          <w:rFonts w:eastAsiaTheme="minorHAnsi"/>
          <w:bCs/>
          <w:lang w:eastAsia="en-US"/>
        </w:rPr>
        <w:t>D’ici fin juillet 2016, atteindre au moins 20% des structures sanitaires qui notifient et rapportent les données sur les  MAPI.</w:t>
      </w:r>
    </w:p>
    <w:p w:rsidR="0082102A" w:rsidRPr="00621BF1" w:rsidRDefault="0082102A" w:rsidP="00197EA3">
      <w:pPr>
        <w:pStyle w:val="Corpsdetexte"/>
        <w:spacing w:before="60" w:after="60"/>
        <w:rPr>
          <w:rFonts w:ascii="Gill Sans MT" w:eastAsia="Calibri" w:hAnsi="Gill Sans MT"/>
          <w:b/>
          <w:sz w:val="22"/>
          <w:szCs w:val="22"/>
          <w:lang w:eastAsia="en-US"/>
        </w:rPr>
      </w:pPr>
      <w:r w:rsidRPr="00621BF1">
        <w:rPr>
          <w:rFonts w:ascii="Gill Sans MT" w:eastAsia="Calibri" w:hAnsi="Gill Sans MT"/>
          <w:b/>
          <w:sz w:val="22"/>
          <w:szCs w:val="22"/>
          <w:lang w:eastAsia="en-US"/>
        </w:rPr>
        <w:t>Objectifs spécifiques par rapport à la Communication</w:t>
      </w:r>
    </w:p>
    <w:p w:rsidR="0082102A" w:rsidRPr="00621BF1" w:rsidRDefault="0082102A" w:rsidP="00197EA3">
      <w:pPr>
        <w:pStyle w:val="Pieddepage"/>
        <w:numPr>
          <w:ilvl w:val="0"/>
          <w:numId w:val="34"/>
        </w:numPr>
        <w:tabs>
          <w:tab w:val="clear" w:pos="4680"/>
          <w:tab w:val="clear" w:pos="9360"/>
        </w:tabs>
        <w:spacing w:before="60" w:after="60"/>
        <w:jc w:val="both"/>
        <w:rPr>
          <w:rFonts w:eastAsiaTheme="minorHAnsi"/>
          <w:bCs/>
          <w:lang w:eastAsia="en-US"/>
        </w:rPr>
      </w:pPr>
      <w:r w:rsidRPr="00621BF1">
        <w:rPr>
          <w:rFonts w:eastAsiaTheme="minorHAnsi"/>
          <w:bCs/>
          <w:lang w:eastAsia="en-US"/>
        </w:rPr>
        <w:t>D’ici à fin 2020, 90% des individus et des collectivités comprennent l’intérêt des vaccins et réclament la vaccination en tant que droit et responsabilité.</w:t>
      </w:r>
    </w:p>
    <w:p w:rsidR="0082102A" w:rsidRPr="00621BF1" w:rsidRDefault="0082102A" w:rsidP="00197EA3">
      <w:pPr>
        <w:pStyle w:val="Corpsdetexte"/>
        <w:spacing w:before="60" w:after="60"/>
        <w:rPr>
          <w:rFonts w:ascii="Gill Sans MT" w:hAnsi="Gill Sans MT"/>
          <w:b/>
          <w:bCs/>
          <w:sz w:val="22"/>
          <w:szCs w:val="22"/>
        </w:rPr>
      </w:pPr>
      <w:r w:rsidRPr="00621BF1">
        <w:rPr>
          <w:rFonts w:ascii="Gill Sans MT" w:eastAsia="Calibri" w:hAnsi="Gill Sans MT"/>
          <w:b/>
          <w:sz w:val="22"/>
          <w:szCs w:val="22"/>
          <w:lang w:eastAsia="en-US"/>
        </w:rPr>
        <w:t>Objectifs spécifiques par rapport à la gestion du programme</w:t>
      </w:r>
    </w:p>
    <w:p w:rsidR="0082102A" w:rsidRPr="00621BF1" w:rsidRDefault="0082102A" w:rsidP="00197EA3">
      <w:pPr>
        <w:pStyle w:val="Pieddepage"/>
        <w:numPr>
          <w:ilvl w:val="0"/>
          <w:numId w:val="34"/>
        </w:numPr>
        <w:tabs>
          <w:tab w:val="clear" w:pos="4680"/>
          <w:tab w:val="clear" w:pos="9360"/>
        </w:tabs>
        <w:spacing w:before="60" w:after="60"/>
        <w:jc w:val="both"/>
        <w:rPr>
          <w:rFonts w:eastAsiaTheme="minorHAnsi"/>
          <w:bCs/>
          <w:lang w:eastAsia="en-US"/>
        </w:rPr>
      </w:pPr>
      <w:r w:rsidRPr="00621BF1">
        <w:rPr>
          <w:rFonts w:eastAsiaTheme="minorHAnsi"/>
          <w:bCs/>
          <w:lang w:eastAsia="en-US"/>
        </w:rPr>
        <w:t>Accroitre de 52% à 70% la fonctionnalité des structures de coordination, de leadership, de gouvernance et de mobilisation des ressources à tous les niveaux de 2017- 2020</w:t>
      </w:r>
    </w:p>
    <w:p w:rsidR="0082102A" w:rsidRPr="00621BF1" w:rsidRDefault="0082102A" w:rsidP="00197EA3">
      <w:pPr>
        <w:pStyle w:val="Corpsdetexte"/>
        <w:spacing w:before="60" w:after="60"/>
        <w:rPr>
          <w:rFonts w:ascii="Gill Sans MT" w:hAnsi="Gill Sans MT"/>
          <w:sz w:val="22"/>
          <w:szCs w:val="22"/>
        </w:rPr>
      </w:pPr>
      <w:r w:rsidRPr="00621BF1">
        <w:rPr>
          <w:rFonts w:ascii="Gill Sans MT" w:hAnsi="Gill Sans MT"/>
          <w:sz w:val="22"/>
          <w:szCs w:val="22"/>
          <w:lang w:eastAsia="en-US"/>
        </w:rPr>
        <w:t xml:space="preserve">Pour atteindre ces objectifs, des stratégies novatrices adaptées aux nouvelles orientations du GVAP ont été développées. </w:t>
      </w:r>
      <w:r w:rsidR="000339C4" w:rsidRPr="00965D13">
        <w:rPr>
          <w:rFonts w:ascii="Gill Sans MT" w:hAnsi="Gill Sans MT"/>
          <w:sz w:val="22"/>
          <w:szCs w:val="22"/>
          <w:shd w:val="clear" w:color="auto" w:fill="FFFF00"/>
          <w:lang w:eastAsia="en-US"/>
        </w:rPr>
        <w:t>Il s’agit entre autres : (i) l’amélioration de l’offre et de la qualité des services de vaccination par le biais de l’intégration des points de vaccination fixe dans des postes de santé et des structures associatives/privées et des armées ; (ii) l’introduction de nouveaux vaccins ; (iii) le renforcement de la surveillance à base communautaire ; (iv) l’optimisation de la logistique et la décentralisation de la maintenance des équipements de la chaine du froid ; (v) l’amélioration de la demande des populations ; (vi) l’amélioration de la qualité des données et (vii) le renforcement de la gestion du programme à tous les niveaux.</w:t>
      </w:r>
    </w:p>
    <w:p w:rsidR="0082102A" w:rsidRPr="00621BF1" w:rsidRDefault="0082102A" w:rsidP="00197EA3">
      <w:pPr>
        <w:spacing w:before="60" w:after="60" w:line="240" w:lineRule="auto"/>
      </w:pPr>
      <w:r w:rsidRPr="00621BF1">
        <w:rPr>
          <w:b/>
        </w:rPr>
        <w:t xml:space="preserve">De l’analyse des coûts et financement des programmes, </w:t>
      </w:r>
      <w:r w:rsidRPr="00405A2E">
        <w:t xml:space="preserve">il faut noter </w:t>
      </w:r>
      <w:r w:rsidR="00405A2E" w:rsidRPr="00405A2E">
        <w:t>que :</w:t>
      </w:r>
      <w:r w:rsidR="00405A2E">
        <w:rPr>
          <w:b/>
        </w:rPr>
        <w:t xml:space="preserve"> </w:t>
      </w:r>
      <w:r w:rsidRPr="00621BF1">
        <w:t xml:space="preserve">  </w:t>
      </w:r>
    </w:p>
    <w:p w:rsidR="008E1801" w:rsidRPr="00621BF1" w:rsidRDefault="0082102A" w:rsidP="008E1801">
      <w:pPr>
        <w:spacing w:after="0" w:line="240" w:lineRule="auto"/>
        <w:jc w:val="both"/>
      </w:pPr>
      <w:r w:rsidRPr="00CA6E02">
        <w:t xml:space="preserve">le coût total du programme </w:t>
      </w:r>
      <w:r w:rsidR="00CD49B5" w:rsidRPr="00CA6E02">
        <w:t>s’élève</w:t>
      </w:r>
      <w:r w:rsidRPr="00CA6E02">
        <w:t xml:space="preserve"> à </w:t>
      </w:r>
      <w:r w:rsidR="00075485" w:rsidRPr="00CA6E02">
        <w:rPr>
          <w:b/>
        </w:rPr>
        <w:t xml:space="preserve">112 033 334 </w:t>
      </w:r>
      <w:r w:rsidRPr="00CA6E02">
        <w:t>USD dont </w:t>
      </w:r>
      <w:r w:rsidR="00075485" w:rsidRPr="00CA6E02">
        <w:rPr>
          <w:b/>
        </w:rPr>
        <w:t>54 210 600</w:t>
      </w:r>
      <w:r w:rsidRPr="00CA6E02">
        <w:t xml:space="preserve"> USD (</w:t>
      </w:r>
      <w:r w:rsidR="00075485" w:rsidRPr="00CA6E02">
        <w:t>48,6</w:t>
      </w:r>
      <w:r w:rsidRPr="00CA6E02">
        <w:t xml:space="preserve">%) pour les vaccins et logistiques du PEV de routine,  </w:t>
      </w:r>
      <w:r w:rsidR="00075485" w:rsidRPr="00CA6E02">
        <w:t xml:space="preserve"> </w:t>
      </w:r>
      <w:r w:rsidR="00075485" w:rsidRPr="00CA6E02">
        <w:rPr>
          <w:b/>
        </w:rPr>
        <w:t>7 430 662</w:t>
      </w:r>
      <w:r w:rsidRPr="00CA6E02">
        <w:t xml:space="preserve"> USD (  </w:t>
      </w:r>
      <w:r w:rsidR="00075485" w:rsidRPr="00CA6E02">
        <w:t>6,6</w:t>
      </w:r>
      <w:r w:rsidRPr="00CA6E02">
        <w:t xml:space="preserve"> %) pour la prestation des services</w:t>
      </w:r>
      <w:r w:rsidR="008E1801" w:rsidRPr="00CA6E02">
        <w:t xml:space="preserve">, </w:t>
      </w:r>
      <w:r w:rsidR="008E1801" w:rsidRPr="00CA6E02">
        <w:rPr>
          <w:b/>
        </w:rPr>
        <w:t>491 649</w:t>
      </w:r>
      <w:r w:rsidRPr="00CA6E02">
        <w:t xml:space="preserve"> USD (</w:t>
      </w:r>
      <w:r w:rsidR="008E1801" w:rsidRPr="00CA6E02">
        <w:t>0,4</w:t>
      </w:r>
      <w:r w:rsidRPr="00CA6E02">
        <w:t xml:space="preserve"> %) pour le pla</w:t>
      </w:r>
      <w:r w:rsidR="008E1801" w:rsidRPr="00CA6E02">
        <w:t xml:space="preserve">idoyer et communication, </w:t>
      </w:r>
      <w:r w:rsidR="008E1801" w:rsidRPr="00CA6E02">
        <w:rPr>
          <w:b/>
        </w:rPr>
        <w:t xml:space="preserve">3 835 581 </w:t>
      </w:r>
      <w:r w:rsidRPr="00CA6E02">
        <w:t xml:space="preserve"> USD ( </w:t>
      </w:r>
      <w:r w:rsidR="008E1801" w:rsidRPr="00CA6E02">
        <w:t>3,4</w:t>
      </w:r>
      <w:r w:rsidRPr="00CA6E02">
        <w:t xml:space="preserve"> %) pour le monit</w:t>
      </w:r>
      <w:r w:rsidR="008E1801" w:rsidRPr="00CA6E02">
        <w:t>oring et contrôle des maladies,</w:t>
      </w:r>
      <w:r w:rsidR="008E1801" w:rsidRPr="00621BF1">
        <w:t xml:space="preserve"> </w:t>
      </w:r>
    </w:p>
    <w:p w:rsidR="0082102A" w:rsidRPr="00621BF1" w:rsidRDefault="0082102A" w:rsidP="008E1801">
      <w:pPr>
        <w:spacing w:after="0" w:line="240" w:lineRule="auto"/>
        <w:jc w:val="both"/>
      </w:pPr>
      <w:r w:rsidRPr="00621BF1">
        <w:t xml:space="preserve"> </w:t>
      </w:r>
      <w:r w:rsidR="008E1801" w:rsidRPr="00621BF1">
        <w:rPr>
          <w:b/>
        </w:rPr>
        <w:t>4 074 248</w:t>
      </w:r>
      <w:r w:rsidR="008E1801" w:rsidRPr="00621BF1">
        <w:t xml:space="preserve"> </w:t>
      </w:r>
      <w:r w:rsidRPr="00621BF1">
        <w:t xml:space="preserve">USD ( </w:t>
      </w:r>
      <w:r w:rsidR="008E1801" w:rsidRPr="00621BF1">
        <w:t>3,6</w:t>
      </w:r>
      <w:r w:rsidRPr="00621BF1">
        <w:t xml:space="preserve">%) pour la gestion du programme,    </w:t>
      </w:r>
      <w:r w:rsidR="008E1801" w:rsidRPr="00621BF1">
        <w:rPr>
          <w:b/>
        </w:rPr>
        <w:t>35 042 239</w:t>
      </w:r>
      <w:r w:rsidRPr="00621BF1">
        <w:t xml:space="preserve"> USD (</w:t>
      </w:r>
      <w:r w:rsidR="008E1801" w:rsidRPr="00621BF1">
        <w:t xml:space="preserve"> 31,6</w:t>
      </w:r>
      <w:r w:rsidRPr="00621BF1">
        <w:t xml:space="preserve"> %) pour les</w:t>
      </w:r>
      <w:r w:rsidR="000339C4">
        <w:t xml:space="preserve"> activités de </w:t>
      </w:r>
      <w:r w:rsidRPr="00621BF1">
        <w:t xml:space="preserve">  vaccinations supplémentaires et   </w:t>
      </w:r>
      <w:r w:rsidR="008E1801" w:rsidRPr="00621BF1">
        <w:rPr>
          <w:b/>
        </w:rPr>
        <w:t>6 948 355</w:t>
      </w:r>
      <w:r w:rsidR="008E1801" w:rsidRPr="00621BF1">
        <w:t xml:space="preserve"> USD ( 6,2</w:t>
      </w:r>
      <w:r w:rsidRPr="00621BF1">
        <w:t xml:space="preserve"> %) pour les coûts partagés du système de santé.</w:t>
      </w:r>
    </w:p>
    <w:p w:rsidR="005D787D" w:rsidRPr="00621BF1" w:rsidRDefault="0082102A" w:rsidP="005D787D">
      <w:pPr>
        <w:spacing w:before="60" w:after="60" w:line="240" w:lineRule="auto"/>
        <w:jc w:val="both"/>
      </w:pPr>
      <w:r w:rsidRPr="00621BF1">
        <w:t xml:space="preserve">Le coût d’une cible complètement vaccinée s’élèvera  en moyenne à  </w:t>
      </w:r>
      <w:r w:rsidR="008669A7" w:rsidRPr="00621BF1">
        <w:rPr>
          <w:b/>
        </w:rPr>
        <w:t>56</w:t>
      </w:r>
      <w:r w:rsidRPr="00621BF1">
        <w:t xml:space="preserve"> USD. Le financement du PEV augmente progressivement pour toute la période de projection en fonction notamment de l’introduction des nouveaux vaccins. </w:t>
      </w:r>
    </w:p>
    <w:p w:rsidR="0082102A" w:rsidRPr="00621BF1" w:rsidRDefault="007F10D8" w:rsidP="005D787D">
      <w:pPr>
        <w:spacing w:before="60" w:after="60" w:line="240" w:lineRule="auto"/>
        <w:jc w:val="both"/>
      </w:pPr>
      <w:r w:rsidRPr="00621BF1">
        <w:t>Le défi à relever par la Guinée reste  l’immunisation complète et correcte des enfants guinéens à travers un PEV performant</w:t>
      </w:r>
      <w:r w:rsidR="000339C4">
        <w:t xml:space="preserve"> et résilient</w:t>
      </w:r>
      <w:r w:rsidRPr="00621BF1">
        <w:t xml:space="preserve">.  </w:t>
      </w:r>
      <w:r w:rsidR="004133D1" w:rsidRPr="00621BF1">
        <w:t xml:space="preserve">Le succès de la mise en œuvre de ce plan </w:t>
      </w:r>
      <w:r w:rsidR="003F12E2" w:rsidRPr="00621BF1">
        <w:t xml:space="preserve">dépendra  </w:t>
      </w:r>
      <w:r w:rsidR="004133D1" w:rsidRPr="00621BF1">
        <w:t>essentiellement d</w:t>
      </w:r>
      <w:r w:rsidR="003F12E2" w:rsidRPr="00621BF1">
        <w:t xml:space="preserve">u respect de </w:t>
      </w:r>
      <w:r w:rsidR="004133D1" w:rsidRPr="00621BF1">
        <w:t xml:space="preserve">l’engagement </w:t>
      </w:r>
      <w:r w:rsidR="003F12E2" w:rsidRPr="00621BF1">
        <w:t xml:space="preserve">pris par l’Etat et ses </w:t>
      </w:r>
      <w:r w:rsidR="004133D1" w:rsidRPr="00621BF1">
        <w:t xml:space="preserve">partenaires au développement y compris la  Société civile. Un plan opérationnel annuel avec des mécanismes de suivi sera élaboré chaque année pour la mise en œuvre effective du plan. </w:t>
      </w:r>
    </w:p>
    <w:p w:rsidR="009A0C92" w:rsidRPr="00621BF1" w:rsidRDefault="009A0C92" w:rsidP="00431B9D">
      <w:pPr>
        <w:spacing w:after="120"/>
        <w:jc w:val="both"/>
        <w:rPr>
          <w:rFonts w:cs="Arial"/>
        </w:rPr>
      </w:pPr>
    </w:p>
    <w:p w:rsidR="00431B9D" w:rsidRPr="00621BF1" w:rsidRDefault="00431B9D" w:rsidP="00431B9D">
      <w:pPr>
        <w:spacing w:after="120"/>
        <w:jc w:val="both"/>
        <w:rPr>
          <w:rFonts w:cs="Arial"/>
        </w:rPr>
      </w:pPr>
    </w:p>
    <w:p w:rsidR="00431B9D" w:rsidRPr="00621BF1" w:rsidRDefault="00431B9D" w:rsidP="00431B9D">
      <w:pPr>
        <w:spacing w:after="120"/>
        <w:jc w:val="both"/>
        <w:rPr>
          <w:rFonts w:cs="Arial"/>
        </w:rPr>
      </w:pPr>
    </w:p>
    <w:p w:rsidR="00075485" w:rsidRPr="00621BF1" w:rsidRDefault="009A0C92">
      <w:pPr>
        <w:spacing w:after="160" w:line="259" w:lineRule="auto"/>
        <w:rPr>
          <w:b/>
          <w:color w:val="0070C0"/>
          <w:sz w:val="24"/>
        </w:rPr>
      </w:pPr>
      <w:bookmarkStart w:id="2" w:name="_Toc452745734"/>
      <w:bookmarkStart w:id="3" w:name="_Toc452746466"/>
      <w:bookmarkStart w:id="4" w:name="_Toc374708106"/>
      <w:r w:rsidRPr="00621BF1">
        <w:rPr>
          <w:b/>
          <w:color w:val="0070C0"/>
          <w:sz w:val="24"/>
        </w:rPr>
        <w:br w:type="page"/>
      </w:r>
    </w:p>
    <w:p w:rsidR="009A0C92" w:rsidRPr="00621BF1" w:rsidRDefault="009A0C92">
      <w:pPr>
        <w:spacing w:after="160" w:line="259" w:lineRule="auto"/>
        <w:rPr>
          <w:b/>
          <w:color w:val="0070C0"/>
          <w:sz w:val="24"/>
        </w:rPr>
      </w:pPr>
    </w:p>
    <w:p w:rsidR="00431B9D" w:rsidRPr="00621BF1" w:rsidRDefault="00431B9D" w:rsidP="003D4DF9">
      <w:pPr>
        <w:pBdr>
          <w:bottom w:val="single" w:sz="2" w:space="1" w:color="C45911" w:themeColor="accent2" w:themeShade="BF"/>
          <w:right w:val="single" w:sz="48" w:space="4" w:color="C45911" w:themeColor="accent2" w:themeShade="BF"/>
        </w:pBdr>
        <w:rPr>
          <w:b/>
          <w:color w:val="0070C0"/>
          <w:sz w:val="24"/>
        </w:rPr>
      </w:pPr>
      <w:r w:rsidRPr="00621BF1">
        <w:rPr>
          <w:b/>
          <w:color w:val="0070C0"/>
          <w:sz w:val="24"/>
        </w:rPr>
        <w:t>TABLE DES MATIERES</w:t>
      </w:r>
    </w:p>
    <w:p w:rsidR="003C3184" w:rsidRDefault="00B51B2E">
      <w:pPr>
        <w:pStyle w:val="TM1"/>
        <w:tabs>
          <w:tab w:val="right" w:leader="dot" w:pos="10070"/>
        </w:tabs>
        <w:rPr>
          <w:rFonts w:asciiTheme="minorHAnsi" w:hAnsiTheme="minorHAnsi"/>
          <w:noProof/>
          <w:lang w:val="en-US" w:eastAsia="en-US"/>
        </w:rPr>
      </w:pPr>
      <w:r w:rsidRPr="00621BF1">
        <w:rPr>
          <w:bCs/>
          <w:caps/>
        </w:rPr>
        <w:fldChar w:fldCharType="begin"/>
      </w:r>
      <w:r w:rsidR="00DF4FD8" w:rsidRPr="00621BF1">
        <w:rPr>
          <w:bCs/>
          <w:caps/>
        </w:rPr>
        <w:instrText xml:space="preserve"> TOC \o "1-3" \h \z \u </w:instrText>
      </w:r>
      <w:r w:rsidRPr="00621BF1">
        <w:rPr>
          <w:bCs/>
          <w:caps/>
        </w:rPr>
        <w:fldChar w:fldCharType="separate"/>
      </w:r>
      <w:hyperlink w:anchor="_Toc458593618" w:history="1">
        <w:r w:rsidR="003C3184" w:rsidRPr="00C0727F">
          <w:rPr>
            <w:rStyle w:val="Lienhypertexte"/>
            <w:noProof/>
          </w:rPr>
          <w:t>RESUME</w:t>
        </w:r>
        <w:r w:rsidR="003C3184">
          <w:rPr>
            <w:noProof/>
            <w:webHidden/>
          </w:rPr>
          <w:tab/>
        </w:r>
        <w:r>
          <w:rPr>
            <w:noProof/>
            <w:webHidden/>
          </w:rPr>
          <w:fldChar w:fldCharType="begin"/>
        </w:r>
        <w:r w:rsidR="003C3184">
          <w:rPr>
            <w:noProof/>
            <w:webHidden/>
          </w:rPr>
          <w:instrText xml:space="preserve"> PAGEREF _Toc458593618 \h </w:instrText>
        </w:r>
        <w:r>
          <w:rPr>
            <w:noProof/>
            <w:webHidden/>
          </w:rPr>
        </w:r>
        <w:r>
          <w:rPr>
            <w:noProof/>
            <w:webHidden/>
          </w:rPr>
          <w:fldChar w:fldCharType="separate"/>
        </w:r>
        <w:r w:rsidR="00DC4EEF">
          <w:rPr>
            <w:noProof/>
            <w:webHidden/>
          </w:rPr>
          <w:t>4</w:t>
        </w:r>
        <w:r>
          <w:rPr>
            <w:noProof/>
            <w:webHidden/>
          </w:rPr>
          <w:fldChar w:fldCharType="end"/>
        </w:r>
      </w:hyperlink>
    </w:p>
    <w:p w:rsidR="003C3184" w:rsidRDefault="00813A59">
      <w:pPr>
        <w:pStyle w:val="TM1"/>
        <w:tabs>
          <w:tab w:val="right" w:leader="dot" w:pos="10070"/>
        </w:tabs>
        <w:rPr>
          <w:rFonts w:asciiTheme="minorHAnsi" w:hAnsiTheme="minorHAnsi"/>
          <w:noProof/>
          <w:lang w:val="en-US" w:eastAsia="en-US"/>
        </w:rPr>
      </w:pPr>
      <w:hyperlink w:anchor="_Toc458593619" w:history="1">
        <w:r w:rsidR="003C3184" w:rsidRPr="00C0727F">
          <w:rPr>
            <w:rStyle w:val="Lienhypertexte"/>
            <w:noProof/>
          </w:rPr>
          <w:t>LISTE DES ABREVIATIONS</w:t>
        </w:r>
        <w:r w:rsidR="003C3184">
          <w:rPr>
            <w:noProof/>
            <w:webHidden/>
          </w:rPr>
          <w:tab/>
        </w:r>
        <w:r w:rsidR="00B51B2E">
          <w:rPr>
            <w:noProof/>
            <w:webHidden/>
          </w:rPr>
          <w:fldChar w:fldCharType="begin"/>
        </w:r>
        <w:r w:rsidR="003C3184">
          <w:rPr>
            <w:noProof/>
            <w:webHidden/>
          </w:rPr>
          <w:instrText xml:space="preserve"> PAGEREF _Toc458593619 \h </w:instrText>
        </w:r>
        <w:r w:rsidR="00B51B2E">
          <w:rPr>
            <w:noProof/>
            <w:webHidden/>
          </w:rPr>
        </w:r>
        <w:r w:rsidR="00B51B2E">
          <w:rPr>
            <w:noProof/>
            <w:webHidden/>
          </w:rPr>
          <w:fldChar w:fldCharType="separate"/>
        </w:r>
        <w:r w:rsidR="00DC4EEF">
          <w:rPr>
            <w:noProof/>
            <w:webHidden/>
          </w:rPr>
          <w:t>8</w:t>
        </w:r>
        <w:r w:rsidR="00B51B2E">
          <w:rPr>
            <w:noProof/>
            <w:webHidden/>
          </w:rPr>
          <w:fldChar w:fldCharType="end"/>
        </w:r>
      </w:hyperlink>
    </w:p>
    <w:p w:rsidR="003C3184" w:rsidRDefault="00813A59">
      <w:pPr>
        <w:pStyle w:val="TM1"/>
        <w:tabs>
          <w:tab w:val="right" w:leader="dot" w:pos="10070"/>
        </w:tabs>
        <w:rPr>
          <w:rFonts w:asciiTheme="minorHAnsi" w:hAnsiTheme="minorHAnsi"/>
          <w:noProof/>
          <w:lang w:val="en-US" w:eastAsia="en-US"/>
        </w:rPr>
      </w:pPr>
      <w:hyperlink w:anchor="_Toc458593620" w:history="1">
        <w:r w:rsidR="003C3184" w:rsidRPr="00C0727F">
          <w:rPr>
            <w:rStyle w:val="Lienhypertexte"/>
            <w:noProof/>
          </w:rPr>
          <w:t>LISTE DES TABLEAUX ET FIGURES</w:t>
        </w:r>
        <w:r w:rsidR="003C3184">
          <w:rPr>
            <w:noProof/>
            <w:webHidden/>
          </w:rPr>
          <w:tab/>
        </w:r>
        <w:r w:rsidR="00B51B2E">
          <w:rPr>
            <w:noProof/>
            <w:webHidden/>
          </w:rPr>
          <w:fldChar w:fldCharType="begin"/>
        </w:r>
        <w:r w:rsidR="003C3184">
          <w:rPr>
            <w:noProof/>
            <w:webHidden/>
          </w:rPr>
          <w:instrText xml:space="preserve"> PAGEREF _Toc458593620 \h </w:instrText>
        </w:r>
        <w:r w:rsidR="00B51B2E">
          <w:rPr>
            <w:noProof/>
            <w:webHidden/>
          </w:rPr>
        </w:r>
        <w:r w:rsidR="00B51B2E">
          <w:rPr>
            <w:noProof/>
            <w:webHidden/>
          </w:rPr>
          <w:fldChar w:fldCharType="separate"/>
        </w:r>
        <w:r w:rsidR="00DC4EEF">
          <w:rPr>
            <w:noProof/>
            <w:webHidden/>
          </w:rPr>
          <w:t>13</w:t>
        </w:r>
        <w:r w:rsidR="00B51B2E">
          <w:rPr>
            <w:noProof/>
            <w:webHidden/>
          </w:rPr>
          <w:fldChar w:fldCharType="end"/>
        </w:r>
      </w:hyperlink>
    </w:p>
    <w:p w:rsidR="003C3184" w:rsidRDefault="00813A59">
      <w:pPr>
        <w:pStyle w:val="TM1"/>
        <w:tabs>
          <w:tab w:val="left" w:pos="440"/>
          <w:tab w:val="right" w:leader="dot" w:pos="10070"/>
        </w:tabs>
        <w:rPr>
          <w:rFonts w:asciiTheme="minorHAnsi" w:hAnsiTheme="minorHAnsi"/>
          <w:noProof/>
          <w:lang w:val="en-US" w:eastAsia="en-US"/>
        </w:rPr>
      </w:pPr>
      <w:hyperlink w:anchor="_Toc458593621" w:history="1">
        <w:r w:rsidR="003C3184" w:rsidRPr="00C0727F">
          <w:rPr>
            <w:rStyle w:val="Lienhypertexte"/>
            <w:rFonts w:cs="Arial"/>
            <w:noProof/>
          </w:rPr>
          <w:t>1</w:t>
        </w:r>
        <w:r w:rsidR="003C3184">
          <w:rPr>
            <w:rFonts w:asciiTheme="minorHAnsi" w:hAnsiTheme="minorHAnsi"/>
            <w:noProof/>
            <w:lang w:val="en-US" w:eastAsia="en-US"/>
          </w:rPr>
          <w:tab/>
        </w:r>
        <w:r w:rsidR="003C3184" w:rsidRPr="00C0727F">
          <w:rPr>
            <w:rStyle w:val="Lienhypertexte"/>
            <w:rFonts w:cs="Arial"/>
            <w:noProof/>
          </w:rPr>
          <w:t>INTRODUCTION</w:t>
        </w:r>
        <w:r w:rsidR="003C3184">
          <w:rPr>
            <w:noProof/>
            <w:webHidden/>
          </w:rPr>
          <w:tab/>
        </w:r>
        <w:r w:rsidR="00B51B2E">
          <w:rPr>
            <w:noProof/>
            <w:webHidden/>
          </w:rPr>
          <w:fldChar w:fldCharType="begin"/>
        </w:r>
        <w:r w:rsidR="003C3184">
          <w:rPr>
            <w:noProof/>
            <w:webHidden/>
          </w:rPr>
          <w:instrText xml:space="preserve"> PAGEREF _Toc458593621 \h </w:instrText>
        </w:r>
        <w:r w:rsidR="00B51B2E">
          <w:rPr>
            <w:noProof/>
            <w:webHidden/>
          </w:rPr>
        </w:r>
        <w:r w:rsidR="00B51B2E">
          <w:rPr>
            <w:noProof/>
            <w:webHidden/>
          </w:rPr>
          <w:fldChar w:fldCharType="separate"/>
        </w:r>
        <w:r w:rsidR="00DC4EEF">
          <w:rPr>
            <w:noProof/>
            <w:webHidden/>
          </w:rPr>
          <w:t>14</w:t>
        </w:r>
        <w:r w:rsidR="00B51B2E">
          <w:rPr>
            <w:noProof/>
            <w:webHidden/>
          </w:rPr>
          <w:fldChar w:fldCharType="end"/>
        </w:r>
      </w:hyperlink>
    </w:p>
    <w:p w:rsidR="003C3184" w:rsidRDefault="00813A59">
      <w:pPr>
        <w:pStyle w:val="TM1"/>
        <w:tabs>
          <w:tab w:val="left" w:pos="440"/>
          <w:tab w:val="right" w:leader="dot" w:pos="10070"/>
        </w:tabs>
        <w:rPr>
          <w:rFonts w:asciiTheme="minorHAnsi" w:hAnsiTheme="minorHAnsi"/>
          <w:noProof/>
          <w:lang w:val="en-US" w:eastAsia="en-US"/>
        </w:rPr>
      </w:pPr>
      <w:hyperlink w:anchor="_Toc458593622" w:history="1">
        <w:r w:rsidR="003C3184" w:rsidRPr="00C0727F">
          <w:rPr>
            <w:rStyle w:val="Lienhypertexte"/>
            <w:noProof/>
          </w:rPr>
          <w:t>2</w:t>
        </w:r>
        <w:r w:rsidR="003C3184">
          <w:rPr>
            <w:rFonts w:asciiTheme="minorHAnsi" w:hAnsiTheme="minorHAnsi"/>
            <w:noProof/>
            <w:lang w:val="en-US" w:eastAsia="en-US"/>
          </w:rPr>
          <w:tab/>
        </w:r>
        <w:r w:rsidR="003C3184" w:rsidRPr="00C0727F">
          <w:rPr>
            <w:rStyle w:val="Lienhypertexte"/>
            <w:noProof/>
          </w:rPr>
          <w:t>PRESENTATION DE LA REPUBLIQUE DE GUINEE</w:t>
        </w:r>
        <w:r w:rsidR="003C3184">
          <w:rPr>
            <w:noProof/>
            <w:webHidden/>
          </w:rPr>
          <w:tab/>
        </w:r>
        <w:r w:rsidR="00B51B2E">
          <w:rPr>
            <w:noProof/>
            <w:webHidden/>
          </w:rPr>
          <w:fldChar w:fldCharType="begin"/>
        </w:r>
        <w:r w:rsidR="003C3184">
          <w:rPr>
            <w:noProof/>
            <w:webHidden/>
          </w:rPr>
          <w:instrText xml:space="preserve"> PAGEREF _Toc458593622 \h </w:instrText>
        </w:r>
        <w:r w:rsidR="00B51B2E">
          <w:rPr>
            <w:noProof/>
            <w:webHidden/>
          </w:rPr>
        </w:r>
        <w:r w:rsidR="00B51B2E">
          <w:rPr>
            <w:noProof/>
            <w:webHidden/>
          </w:rPr>
          <w:fldChar w:fldCharType="separate"/>
        </w:r>
        <w:r w:rsidR="00DC4EEF">
          <w:rPr>
            <w:noProof/>
            <w:webHidden/>
          </w:rPr>
          <w:t>15</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23" w:history="1">
        <w:r w:rsidR="003C3184" w:rsidRPr="00C0727F">
          <w:rPr>
            <w:rStyle w:val="Lienhypertexte"/>
            <w:noProof/>
          </w:rPr>
          <w:t>2.1</w:t>
        </w:r>
        <w:r w:rsidR="003C3184">
          <w:rPr>
            <w:rFonts w:asciiTheme="minorHAnsi" w:hAnsiTheme="minorHAnsi"/>
            <w:noProof/>
            <w:lang w:val="en-US" w:eastAsia="en-US"/>
          </w:rPr>
          <w:tab/>
        </w:r>
        <w:r w:rsidR="003C3184" w:rsidRPr="00C0727F">
          <w:rPr>
            <w:rStyle w:val="Lienhypertexte"/>
            <w:noProof/>
          </w:rPr>
          <w:t>CONTEXTE SOCIOPOLITIQUE ET ÉCONOMIQUE</w:t>
        </w:r>
        <w:r w:rsidR="003C3184">
          <w:rPr>
            <w:noProof/>
            <w:webHidden/>
          </w:rPr>
          <w:tab/>
        </w:r>
        <w:r w:rsidR="00B51B2E">
          <w:rPr>
            <w:noProof/>
            <w:webHidden/>
          </w:rPr>
          <w:fldChar w:fldCharType="begin"/>
        </w:r>
        <w:r w:rsidR="003C3184">
          <w:rPr>
            <w:noProof/>
            <w:webHidden/>
          </w:rPr>
          <w:instrText xml:space="preserve"> PAGEREF _Toc458593623 \h </w:instrText>
        </w:r>
        <w:r w:rsidR="00B51B2E">
          <w:rPr>
            <w:noProof/>
            <w:webHidden/>
          </w:rPr>
        </w:r>
        <w:r w:rsidR="00B51B2E">
          <w:rPr>
            <w:noProof/>
            <w:webHidden/>
          </w:rPr>
          <w:fldChar w:fldCharType="separate"/>
        </w:r>
        <w:r w:rsidR="00DC4EEF">
          <w:rPr>
            <w:noProof/>
            <w:webHidden/>
          </w:rPr>
          <w:t>15</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24" w:history="1">
        <w:r w:rsidR="003C3184" w:rsidRPr="00C0727F">
          <w:rPr>
            <w:rStyle w:val="Lienhypertexte"/>
            <w:noProof/>
          </w:rPr>
          <w:t>2.1.1</w:t>
        </w:r>
        <w:r w:rsidR="003C3184">
          <w:rPr>
            <w:rFonts w:asciiTheme="minorHAnsi" w:hAnsiTheme="minorHAnsi"/>
            <w:noProof/>
            <w:lang w:val="en-US" w:eastAsia="en-US"/>
          </w:rPr>
          <w:tab/>
        </w:r>
        <w:r w:rsidR="003C3184" w:rsidRPr="00C0727F">
          <w:rPr>
            <w:rStyle w:val="Lienhypertexte"/>
            <w:noProof/>
          </w:rPr>
          <w:t>Situation géographique et démographique</w:t>
        </w:r>
        <w:r w:rsidR="003C3184">
          <w:rPr>
            <w:noProof/>
            <w:webHidden/>
          </w:rPr>
          <w:tab/>
        </w:r>
        <w:r w:rsidR="00B51B2E">
          <w:rPr>
            <w:noProof/>
            <w:webHidden/>
          </w:rPr>
          <w:fldChar w:fldCharType="begin"/>
        </w:r>
        <w:r w:rsidR="003C3184">
          <w:rPr>
            <w:noProof/>
            <w:webHidden/>
          </w:rPr>
          <w:instrText xml:space="preserve"> PAGEREF _Toc458593624 \h </w:instrText>
        </w:r>
        <w:r w:rsidR="00B51B2E">
          <w:rPr>
            <w:noProof/>
            <w:webHidden/>
          </w:rPr>
        </w:r>
        <w:r w:rsidR="00B51B2E">
          <w:rPr>
            <w:noProof/>
            <w:webHidden/>
          </w:rPr>
          <w:fldChar w:fldCharType="separate"/>
        </w:r>
        <w:r w:rsidR="00DC4EEF">
          <w:rPr>
            <w:noProof/>
            <w:webHidden/>
          </w:rPr>
          <w:t>15</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25" w:history="1">
        <w:r w:rsidR="003C3184" w:rsidRPr="00C0727F">
          <w:rPr>
            <w:rStyle w:val="Lienhypertexte"/>
            <w:noProof/>
          </w:rPr>
          <w:t>2.1.2</w:t>
        </w:r>
        <w:r w:rsidR="003C3184">
          <w:rPr>
            <w:rFonts w:asciiTheme="minorHAnsi" w:hAnsiTheme="minorHAnsi"/>
            <w:noProof/>
            <w:lang w:val="en-US" w:eastAsia="en-US"/>
          </w:rPr>
          <w:tab/>
        </w:r>
        <w:r w:rsidR="003C3184" w:rsidRPr="00C0727F">
          <w:rPr>
            <w:rStyle w:val="Lienhypertexte"/>
            <w:noProof/>
          </w:rPr>
          <w:t>Situation politique, administrative et gouvernance</w:t>
        </w:r>
        <w:r w:rsidR="003C3184">
          <w:rPr>
            <w:noProof/>
            <w:webHidden/>
          </w:rPr>
          <w:tab/>
        </w:r>
        <w:r w:rsidR="00B51B2E">
          <w:rPr>
            <w:noProof/>
            <w:webHidden/>
          </w:rPr>
          <w:fldChar w:fldCharType="begin"/>
        </w:r>
        <w:r w:rsidR="003C3184">
          <w:rPr>
            <w:noProof/>
            <w:webHidden/>
          </w:rPr>
          <w:instrText xml:space="preserve"> PAGEREF _Toc458593625 \h </w:instrText>
        </w:r>
        <w:r w:rsidR="00B51B2E">
          <w:rPr>
            <w:noProof/>
            <w:webHidden/>
          </w:rPr>
        </w:r>
        <w:r w:rsidR="00B51B2E">
          <w:rPr>
            <w:noProof/>
            <w:webHidden/>
          </w:rPr>
          <w:fldChar w:fldCharType="separate"/>
        </w:r>
        <w:r w:rsidR="00DC4EEF">
          <w:rPr>
            <w:noProof/>
            <w:webHidden/>
          </w:rPr>
          <w:t>15</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26" w:history="1">
        <w:r w:rsidR="003C3184" w:rsidRPr="00C0727F">
          <w:rPr>
            <w:rStyle w:val="Lienhypertexte"/>
            <w:noProof/>
          </w:rPr>
          <w:t>2.1.3</w:t>
        </w:r>
        <w:r w:rsidR="003C3184">
          <w:rPr>
            <w:rFonts w:asciiTheme="minorHAnsi" w:hAnsiTheme="minorHAnsi"/>
            <w:noProof/>
            <w:lang w:val="en-US" w:eastAsia="en-US"/>
          </w:rPr>
          <w:tab/>
        </w:r>
        <w:r w:rsidR="003C3184" w:rsidRPr="00C0727F">
          <w:rPr>
            <w:rStyle w:val="Lienhypertexte"/>
            <w:noProof/>
          </w:rPr>
          <w:t>Situation socio-économique</w:t>
        </w:r>
        <w:r w:rsidR="003C3184">
          <w:rPr>
            <w:noProof/>
            <w:webHidden/>
          </w:rPr>
          <w:tab/>
        </w:r>
        <w:r w:rsidR="00B51B2E">
          <w:rPr>
            <w:noProof/>
            <w:webHidden/>
          </w:rPr>
          <w:fldChar w:fldCharType="begin"/>
        </w:r>
        <w:r w:rsidR="003C3184">
          <w:rPr>
            <w:noProof/>
            <w:webHidden/>
          </w:rPr>
          <w:instrText xml:space="preserve"> PAGEREF _Toc458593626 \h </w:instrText>
        </w:r>
        <w:r w:rsidR="00B51B2E">
          <w:rPr>
            <w:noProof/>
            <w:webHidden/>
          </w:rPr>
        </w:r>
        <w:r w:rsidR="00B51B2E">
          <w:rPr>
            <w:noProof/>
            <w:webHidden/>
          </w:rPr>
          <w:fldChar w:fldCharType="separate"/>
        </w:r>
        <w:r w:rsidR="00DC4EEF">
          <w:rPr>
            <w:noProof/>
            <w:webHidden/>
          </w:rPr>
          <w:t>16</w:t>
        </w:r>
        <w:r w:rsidR="00B51B2E">
          <w:rPr>
            <w:noProof/>
            <w:webHidden/>
          </w:rPr>
          <w:fldChar w:fldCharType="end"/>
        </w:r>
      </w:hyperlink>
    </w:p>
    <w:p w:rsidR="003C3184" w:rsidRDefault="00813A59">
      <w:pPr>
        <w:pStyle w:val="TM1"/>
        <w:tabs>
          <w:tab w:val="left" w:pos="440"/>
          <w:tab w:val="right" w:leader="dot" w:pos="10070"/>
        </w:tabs>
        <w:rPr>
          <w:rFonts w:asciiTheme="minorHAnsi" w:hAnsiTheme="minorHAnsi"/>
          <w:noProof/>
          <w:lang w:val="en-US" w:eastAsia="en-US"/>
        </w:rPr>
      </w:pPr>
      <w:hyperlink w:anchor="_Toc458593627" w:history="1">
        <w:r w:rsidR="003C3184" w:rsidRPr="00C0727F">
          <w:rPr>
            <w:rStyle w:val="Lienhypertexte"/>
            <w:noProof/>
          </w:rPr>
          <w:t>3</w:t>
        </w:r>
        <w:r w:rsidR="003C3184">
          <w:rPr>
            <w:rFonts w:asciiTheme="minorHAnsi" w:hAnsiTheme="minorHAnsi"/>
            <w:noProof/>
            <w:lang w:val="en-US" w:eastAsia="en-US"/>
          </w:rPr>
          <w:tab/>
        </w:r>
        <w:r w:rsidR="003C3184" w:rsidRPr="00C0727F">
          <w:rPr>
            <w:rStyle w:val="Lienhypertexte"/>
            <w:noProof/>
          </w:rPr>
          <w:t>SYSTÈME DE SANTE</w:t>
        </w:r>
        <w:r w:rsidR="003C3184">
          <w:rPr>
            <w:noProof/>
            <w:webHidden/>
          </w:rPr>
          <w:tab/>
        </w:r>
        <w:r w:rsidR="00B51B2E">
          <w:rPr>
            <w:noProof/>
            <w:webHidden/>
          </w:rPr>
          <w:fldChar w:fldCharType="begin"/>
        </w:r>
        <w:r w:rsidR="003C3184">
          <w:rPr>
            <w:noProof/>
            <w:webHidden/>
          </w:rPr>
          <w:instrText xml:space="preserve"> PAGEREF _Toc458593627 \h </w:instrText>
        </w:r>
        <w:r w:rsidR="00B51B2E">
          <w:rPr>
            <w:noProof/>
            <w:webHidden/>
          </w:rPr>
        </w:r>
        <w:r w:rsidR="00B51B2E">
          <w:rPr>
            <w:noProof/>
            <w:webHidden/>
          </w:rPr>
          <w:fldChar w:fldCharType="separate"/>
        </w:r>
        <w:r w:rsidR="00DC4EEF">
          <w:rPr>
            <w:noProof/>
            <w:webHidden/>
          </w:rPr>
          <w:t>17</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28" w:history="1">
        <w:r w:rsidR="003C3184" w:rsidRPr="00C0727F">
          <w:rPr>
            <w:rStyle w:val="Lienhypertexte"/>
            <w:noProof/>
          </w:rPr>
          <w:t>3.1</w:t>
        </w:r>
        <w:r w:rsidR="003C3184">
          <w:rPr>
            <w:rFonts w:asciiTheme="minorHAnsi" w:hAnsiTheme="minorHAnsi"/>
            <w:noProof/>
            <w:lang w:val="en-US" w:eastAsia="en-US"/>
          </w:rPr>
          <w:tab/>
        </w:r>
        <w:r w:rsidR="003C3184" w:rsidRPr="00C0727F">
          <w:rPr>
            <w:rStyle w:val="Lienhypertexte"/>
            <w:noProof/>
          </w:rPr>
          <w:t>Politique nationale</w:t>
        </w:r>
        <w:r w:rsidR="003C3184">
          <w:rPr>
            <w:noProof/>
            <w:webHidden/>
          </w:rPr>
          <w:tab/>
        </w:r>
        <w:r w:rsidR="00B51B2E">
          <w:rPr>
            <w:noProof/>
            <w:webHidden/>
          </w:rPr>
          <w:fldChar w:fldCharType="begin"/>
        </w:r>
        <w:r w:rsidR="003C3184">
          <w:rPr>
            <w:noProof/>
            <w:webHidden/>
          </w:rPr>
          <w:instrText xml:space="preserve"> PAGEREF _Toc458593628 \h </w:instrText>
        </w:r>
        <w:r w:rsidR="00B51B2E">
          <w:rPr>
            <w:noProof/>
            <w:webHidden/>
          </w:rPr>
        </w:r>
        <w:r w:rsidR="00B51B2E">
          <w:rPr>
            <w:noProof/>
            <w:webHidden/>
          </w:rPr>
          <w:fldChar w:fldCharType="separate"/>
        </w:r>
        <w:r w:rsidR="00DC4EEF">
          <w:rPr>
            <w:noProof/>
            <w:webHidden/>
          </w:rPr>
          <w:t>17</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29" w:history="1">
        <w:r w:rsidR="003C3184" w:rsidRPr="00C0727F">
          <w:rPr>
            <w:rStyle w:val="Lienhypertexte"/>
            <w:noProof/>
          </w:rPr>
          <w:t>3.2</w:t>
        </w:r>
        <w:r w:rsidR="003C3184">
          <w:rPr>
            <w:rFonts w:asciiTheme="minorHAnsi" w:hAnsiTheme="minorHAnsi"/>
            <w:noProof/>
            <w:lang w:val="en-US" w:eastAsia="en-US"/>
          </w:rPr>
          <w:tab/>
        </w:r>
        <w:r w:rsidR="003C3184" w:rsidRPr="00C0727F">
          <w:rPr>
            <w:rStyle w:val="Lienhypertexte"/>
            <w:noProof/>
          </w:rPr>
          <w:t>Organisation du système de sante</w:t>
        </w:r>
        <w:r w:rsidR="003C3184">
          <w:rPr>
            <w:noProof/>
            <w:webHidden/>
          </w:rPr>
          <w:tab/>
        </w:r>
        <w:r w:rsidR="00B51B2E">
          <w:rPr>
            <w:noProof/>
            <w:webHidden/>
          </w:rPr>
          <w:fldChar w:fldCharType="begin"/>
        </w:r>
        <w:r w:rsidR="003C3184">
          <w:rPr>
            <w:noProof/>
            <w:webHidden/>
          </w:rPr>
          <w:instrText xml:space="preserve"> PAGEREF _Toc458593629 \h </w:instrText>
        </w:r>
        <w:r w:rsidR="00B51B2E">
          <w:rPr>
            <w:noProof/>
            <w:webHidden/>
          </w:rPr>
        </w:r>
        <w:r w:rsidR="00B51B2E">
          <w:rPr>
            <w:noProof/>
            <w:webHidden/>
          </w:rPr>
          <w:fldChar w:fldCharType="separate"/>
        </w:r>
        <w:r w:rsidR="00DC4EEF">
          <w:rPr>
            <w:noProof/>
            <w:webHidden/>
          </w:rPr>
          <w:t>17</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30" w:history="1">
        <w:r w:rsidR="003C3184" w:rsidRPr="00C0727F">
          <w:rPr>
            <w:rStyle w:val="Lienhypertexte"/>
            <w:noProof/>
          </w:rPr>
          <w:t>3.3</w:t>
        </w:r>
        <w:r w:rsidR="003C3184">
          <w:rPr>
            <w:rFonts w:asciiTheme="minorHAnsi" w:hAnsiTheme="minorHAnsi"/>
            <w:noProof/>
            <w:lang w:val="en-US" w:eastAsia="en-US"/>
          </w:rPr>
          <w:tab/>
        </w:r>
        <w:r w:rsidR="003C3184" w:rsidRPr="00C0727F">
          <w:rPr>
            <w:rStyle w:val="Lienhypertexte"/>
            <w:noProof/>
          </w:rPr>
          <w:t>Profil sanitaire</w:t>
        </w:r>
        <w:r w:rsidR="003C3184">
          <w:rPr>
            <w:noProof/>
            <w:webHidden/>
          </w:rPr>
          <w:tab/>
        </w:r>
        <w:r w:rsidR="00B51B2E">
          <w:rPr>
            <w:noProof/>
            <w:webHidden/>
          </w:rPr>
          <w:fldChar w:fldCharType="begin"/>
        </w:r>
        <w:r w:rsidR="003C3184">
          <w:rPr>
            <w:noProof/>
            <w:webHidden/>
          </w:rPr>
          <w:instrText xml:space="preserve"> PAGEREF _Toc458593630 \h </w:instrText>
        </w:r>
        <w:r w:rsidR="00B51B2E">
          <w:rPr>
            <w:noProof/>
            <w:webHidden/>
          </w:rPr>
        </w:r>
        <w:r w:rsidR="00B51B2E">
          <w:rPr>
            <w:noProof/>
            <w:webHidden/>
          </w:rPr>
          <w:fldChar w:fldCharType="separate"/>
        </w:r>
        <w:r w:rsidR="00DC4EEF">
          <w:rPr>
            <w:noProof/>
            <w:webHidden/>
          </w:rPr>
          <w:t>19</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31" w:history="1">
        <w:r w:rsidR="003C3184" w:rsidRPr="00C0727F">
          <w:rPr>
            <w:rStyle w:val="Lienhypertexte"/>
            <w:noProof/>
          </w:rPr>
          <w:t>3.4</w:t>
        </w:r>
        <w:r w:rsidR="003C3184">
          <w:rPr>
            <w:rFonts w:asciiTheme="minorHAnsi" w:hAnsiTheme="minorHAnsi"/>
            <w:noProof/>
            <w:lang w:val="en-US" w:eastAsia="en-US"/>
          </w:rPr>
          <w:tab/>
        </w:r>
        <w:r w:rsidR="003C3184" w:rsidRPr="00C0727F">
          <w:rPr>
            <w:rStyle w:val="Lienhypertexte"/>
            <w:noProof/>
          </w:rPr>
          <w:t>Financement du secteur de la santé</w:t>
        </w:r>
        <w:r w:rsidR="003C3184">
          <w:rPr>
            <w:noProof/>
            <w:webHidden/>
          </w:rPr>
          <w:tab/>
        </w:r>
        <w:r w:rsidR="00B51B2E">
          <w:rPr>
            <w:noProof/>
            <w:webHidden/>
          </w:rPr>
          <w:fldChar w:fldCharType="begin"/>
        </w:r>
        <w:r w:rsidR="003C3184">
          <w:rPr>
            <w:noProof/>
            <w:webHidden/>
          </w:rPr>
          <w:instrText xml:space="preserve"> PAGEREF _Toc458593631 \h </w:instrText>
        </w:r>
        <w:r w:rsidR="00B51B2E">
          <w:rPr>
            <w:noProof/>
            <w:webHidden/>
          </w:rPr>
        </w:r>
        <w:r w:rsidR="00B51B2E">
          <w:rPr>
            <w:noProof/>
            <w:webHidden/>
          </w:rPr>
          <w:fldChar w:fldCharType="separate"/>
        </w:r>
        <w:r w:rsidR="00DC4EEF">
          <w:rPr>
            <w:noProof/>
            <w:webHidden/>
          </w:rPr>
          <w:t>19</w:t>
        </w:r>
        <w:r w:rsidR="00B51B2E">
          <w:rPr>
            <w:noProof/>
            <w:webHidden/>
          </w:rPr>
          <w:fldChar w:fldCharType="end"/>
        </w:r>
      </w:hyperlink>
    </w:p>
    <w:p w:rsidR="003C3184" w:rsidRDefault="00813A59">
      <w:pPr>
        <w:pStyle w:val="TM1"/>
        <w:tabs>
          <w:tab w:val="left" w:pos="440"/>
          <w:tab w:val="right" w:leader="dot" w:pos="10070"/>
        </w:tabs>
        <w:rPr>
          <w:rFonts w:asciiTheme="minorHAnsi" w:hAnsiTheme="minorHAnsi"/>
          <w:noProof/>
          <w:lang w:val="en-US" w:eastAsia="en-US"/>
        </w:rPr>
      </w:pPr>
      <w:hyperlink w:anchor="_Toc458593632" w:history="1">
        <w:r w:rsidR="003C3184" w:rsidRPr="00C0727F">
          <w:rPr>
            <w:rStyle w:val="Lienhypertexte"/>
            <w:noProof/>
          </w:rPr>
          <w:t>4</w:t>
        </w:r>
        <w:r w:rsidR="003C3184">
          <w:rPr>
            <w:rFonts w:asciiTheme="minorHAnsi" w:hAnsiTheme="minorHAnsi"/>
            <w:noProof/>
            <w:lang w:val="en-US" w:eastAsia="en-US"/>
          </w:rPr>
          <w:tab/>
        </w:r>
        <w:r w:rsidR="003C3184" w:rsidRPr="00C0727F">
          <w:rPr>
            <w:rStyle w:val="Lienhypertexte"/>
            <w:noProof/>
          </w:rPr>
          <w:t>ANALYSE DE LA SITUATION DU PROGRAMME ELARGI DE VACCINATION</w:t>
        </w:r>
        <w:r w:rsidR="003C3184">
          <w:rPr>
            <w:noProof/>
            <w:webHidden/>
          </w:rPr>
          <w:tab/>
        </w:r>
        <w:r w:rsidR="00B51B2E">
          <w:rPr>
            <w:noProof/>
            <w:webHidden/>
          </w:rPr>
          <w:fldChar w:fldCharType="begin"/>
        </w:r>
        <w:r w:rsidR="003C3184">
          <w:rPr>
            <w:noProof/>
            <w:webHidden/>
          </w:rPr>
          <w:instrText xml:space="preserve"> PAGEREF _Toc458593632 \h </w:instrText>
        </w:r>
        <w:r w:rsidR="00B51B2E">
          <w:rPr>
            <w:noProof/>
            <w:webHidden/>
          </w:rPr>
        </w:r>
        <w:r w:rsidR="00B51B2E">
          <w:rPr>
            <w:noProof/>
            <w:webHidden/>
          </w:rPr>
          <w:fldChar w:fldCharType="separate"/>
        </w:r>
        <w:r w:rsidR="00DC4EEF">
          <w:rPr>
            <w:noProof/>
            <w:webHidden/>
          </w:rPr>
          <w:t>20</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33" w:history="1">
        <w:r w:rsidR="003C3184" w:rsidRPr="00C0727F">
          <w:rPr>
            <w:rStyle w:val="Lienhypertexte"/>
            <w:noProof/>
          </w:rPr>
          <w:t>4.1</w:t>
        </w:r>
        <w:r w:rsidR="003C3184">
          <w:rPr>
            <w:rFonts w:asciiTheme="minorHAnsi" w:hAnsiTheme="minorHAnsi"/>
            <w:noProof/>
            <w:lang w:val="en-US" w:eastAsia="en-US"/>
          </w:rPr>
          <w:tab/>
        </w:r>
        <w:r w:rsidR="003C3184" w:rsidRPr="00C0727F">
          <w:rPr>
            <w:rStyle w:val="Lienhypertexte"/>
            <w:noProof/>
          </w:rPr>
          <w:t>PRESTATION DES SERVICES</w:t>
        </w:r>
        <w:r w:rsidR="003C3184">
          <w:rPr>
            <w:noProof/>
            <w:webHidden/>
          </w:rPr>
          <w:tab/>
        </w:r>
        <w:r w:rsidR="00B51B2E">
          <w:rPr>
            <w:noProof/>
            <w:webHidden/>
          </w:rPr>
          <w:fldChar w:fldCharType="begin"/>
        </w:r>
        <w:r w:rsidR="003C3184">
          <w:rPr>
            <w:noProof/>
            <w:webHidden/>
          </w:rPr>
          <w:instrText xml:space="preserve"> PAGEREF _Toc458593633 \h </w:instrText>
        </w:r>
        <w:r w:rsidR="00B51B2E">
          <w:rPr>
            <w:noProof/>
            <w:webHidden/>
          </w:rPr>
        </w:r>
        <w:r w:rsidR="00B51B2E">
          <w:rPr>
            <w:noProof/>
            <w:webHidden/>
          </w:rPr>
          <w:fldChar w:fldCharType="separate"/>
        </w:r>
        <w:r w:rsidR="00DC4EEF">
          <w:rPr>
            <w:noProof/>
            <w:webHidden/>
          </w:rPr>
          <w:t>20</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34" w:history="1">
        <w:r w:rsidR="003C3184" w:rsidRPr="00C0727F">
          <w:rPr>
            <w:rStyle w:val="Lienhypertexte"/>
            <w:noProof/>
          </w:rPr>
          <w:t>4.1.1</w:t>
        </w:r>
        <w:r w:rsidR="003C3184">
          <w:rPr>
            <w:rFonts w:asciiTheme="minorHAnsi" w:hAnsiTheme="minorHAnsi"/>
            <w:noProof/>
            <w:lang w:val="en-US" w:eastAsia="en-US"/>
          </w:rPr>
          <w:tab/>
        </w:r>
        <w:r w:rsidR="003C3184" w:rsidRPr="00C0727F">
          <w:rPr>
            <w:rStyle w:val="Lienhypertexte"/>
            <w:noProof/>
          </w:rPr>
          <w:t>PEV de routine</w:t>
        </w:r>
        <w:r w:rsidR="003C3184">
          <w:rPr>
            <w:noProof/>
            <w:webHidden/>
          </w:rPr>
          <w:tab/>
        </w:r>
        <w:r w:rsidR="00B51B2E">
          <w:rPr>
            <w:noProof/>
            <w:webHidden/>
          </w:rPr>
          <w:fldChar w:fldCharType="begin"/>
        </w:r>
        <w:r w:rsidR="003C3184">
          <w:rPr>
            <w:noProof/>
            <w:webHidden/>
          </w:rPr>
          <w:instrText xml:space="preserve"> PAGEREF _Toc458593634 \h </w:instrText>
        </w:r>
        <w:r w:rsidR="00B51B2E">
          <w:rPr>
            <w:noProof/>
            <w:webHidden/>
          </w:rPr>
        </w:r>
        <w:r w:rsidR="00B51B2E">
          <w:rPr>
            <w:noProof/>
            <w:webHidden/>
          </w:rPr>
          <w:fldChar w:fldCharType="separate"/>
        </w:r>
        <w:r w:rsidR="00DC4EEF">
          <w:rPr>
            <w:noProof/>
            <w:webHidden/>
          </w:rPr>
          <w:t>20</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35" w:history="1">
        <w:r w:rsidR="003C3184" w:rsidRPr="00C0727F">
          <w:rPr>
            <w:rStyle w:val="Lienhypertexte"/>
            <w:noProof/>
          </w:rPr>
          <w:t>4.1.2</w:t>
        </w:r>
        <w:r w:rsidR="003C3184">
          <w:rPr>
            <w:rFonts w:asciiTheme="minorHAnsi" w:hAnsiTheme="minorHAnsi"/>
            <w:noProof/>
            <w:lang w:val="en-US" w:eastAsia="en-US"/>
          </w:rPr>
          <w:tab/>
        </w:r>
        <w:r w:rsidR="003C3184" w:rsidRPr="00C0727F">
          <w:rPr>
            <w:rStyle w:val="Lienhypertexte"/>
            <w:noProof/>
          </w:rPr>
          <w:t>Activités de vaccination supplémentaires</w:t>
        </w:r>
        <w:r w:rsidR="003C3184">
          <w:rPr>
            <w:noProof/>
            <w:webHidden/>
          </w:rPr>
          <w:tab/>
        </w:r>
        <w:r w:rsidR="00B51B2E">
          <w:rPr>
            <w:noProof/>
            <w:webHidden/>
          </w:rPr>
          <w:fldChar w:fldCharType="begin"/>
        </w:r>
        <w:r w:rsidR="003C3184">
          <w:rPr>
            <w:noProof/>
            <w:webHidden/>
          </w:rPr>
          <w:instrText xml:space="preserve"> PAGEREF _Toc458593635 \h </w:instrText>
        </w:r>
        <w:r w:rsidR="00B51B2E">
          <w:rPr>
            <w:noProof/>
            <w:webHidden/>
          </w:rPr>
        </w:r>
        <w:r w:rsidR="00B51B2E">
          <w:rPr>
            <w:noProof/>
            <w:webHidden/>
          </w:rPr>
          <w:fldChar w:fldCharType="separate"/>
        </w:r>
        <w:r w:rsidR="00DC4EEF">
          <w:rPr>
            <w:noProof/>
            <w:webHidden/>
          </w:rPr>
          <w:t>25</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36" w:history="1">
        <w:r w:rsidR="003C3184" w:rsidRPr="00C0727F">
          <w:rPr>
            <w:rStyle w:val="Lienhypertexte"/>
            <w:noProof/>
          </w:rPr>
          <w:t>4.2</w:t>
        </w:r>
        <w:r w:rsidR="003C3184">
          <w:rPr>
            <w:rFonts w:asciiTheme="minorHAnsi" w:hAnsiTheme="minorHAnsi"/>
            <w:noProof/>
            <w:lang w:val="en-US" w:eastAsia="en-US"/>
          </w:rPr>
          <w:tab/>
        </w:r>
        <w:r w:rsidR="003C3184" w:rsidRPr="00C0727F">
          <w:rPr>
            <w:rStyle w:val="Lienhypertexte"/>
            <w:noProof/>
          </w:rPr>
          <w:t>SURVEILLANCE DES MALADIES EVITABLES PAR LA VACCINATION</w:t>
        </w:r>
        <w:r w:rsidR="003C3184">
          <w:rPr>
            <w:noProof/>
            <w:webHidden/>
          </w:rPr>
          <w:tab/>
        </w:r>
        <w:r w:rsidR="00B51B2E">
          <w:rPr>
            <w:noProof/>
            <w:webHidden/>
          </w:rPr>
          <w:fldChar w:fldCharType="begin"/>
        </w:r>
        <w:r w:rsidR="003C3184">
          <w:rPr>
            <w:noProof/>
            <w:webHidden/>
          </w:rPr>
          <w:instrText xml:space="preserve"> PAGEREF _Toc458593636 \h </w:instrText>
        </w:r>
        <w:r w:rsidR="00B51B2E">
          <w:rPr>
            <w:noProof/>
            <w:webHidden/>
          </w:rPr>
        </w:r>
        <w:r w:rsidR="00B51B2E">
          <w:rPr>
            <w:noProof/>
            <w:webHidden/>
          </w:rPr>
          <w:fldChar w:fldCharType="separate"/>
        </w:r>
        <w:r w:rsidR="00DC4EEF">
          <w:rPr>
            <w:noProof/>
            <w:webHidden/>
          </w:rPr>
          <w:t>26</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37" w:history="1">
        <w:r w:rsidR="003C3184" w:rsidRPr="00C0727F">
          <w:rPr>
            <w:rStyle w:val="Lienhypertexte"/>
            <w:noProof/>
          </w:rPr>
          <w:t>4.2.1</w:t>
        </w:r>
        <w:r w:rsidR="003C3184">
          <w:rPr>
            <w:rFonts w:asciiTheme="minorHAnsi" w:hAnsiTheme="minorHAnsi"/>
            <w:noProof/>
            <w:lang w:val="en-US" w:eastAsia="en-US"/>
          </w:rPr>
          <w:tab/>
        </w:r>
        <w:r w:rsidR="003C3184" w:rsidRPr="00C0727F">
          <w:rPr>
            <w:rStyle w:val="Lienhypertexte"/>
            <w:noProof/>
          </w:rPr>
          <w:t>Surveillance des PFA</w:t>
        </w:r>
        <w:r w:rsidR="003C3184">
          <w:rPr>
            <w:noProof/>
            <w:webHidden/>
          </w:rPr>
          <w:tab/>
        </w:r>
        <w:r w:rsidR="00B51B2E">
          <w:rPr>
            <w:noProof/>
            <w:webHidden/>
          </w:rPr>
          <w:fldChar w:fldCharType="begin"/>
        </w:r>
        <w:r w:rsidR="003C3184">
          <w:rPr>
            <w:noProof/>
            <w:webHidden/>
          </w:rPr>
          <w:instrText xml:space="preserve"> PAGEREF _Toc458593637 \h </w:instrText>
        </w:r>
        <w:r w:rsidR="00B51B2E">
          <w:rPr>
            <w:noProof/>
            <w:webHidden/>
          </w:rPr>
        </w:r>
        <w:r w:rsidR="00B51B2E">
          <w:rPr>
            <w:noProof/>
            <w:webHidden/>
          </w:rPr>
          <w:fldChar w:fldCharType="separate"/>
        </w:r>
        <w:r w:rsidR="00DC4EEF">
          <w:rPr>
            <w:noProof/>
            <w:webHidden/>
          </w:rPr>
          <w:t>27</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38" w:history="1">
        <w:r w:rsidR="003C3184" w:rsidRPr="00C0727F">
          <w:rPr>
            <w:rStyle w:val="Lienhypertexte"/>
            <w:noProof/>
          </w:rPr>
          <w:t>4.2.2</w:t>
        </w:r>
        <w:r w:rsidR="003C3184">
          <w:rPr>
            <w:rFonts w:asciiTheme="minorHAnsi" w:hAnsiTheme="minorHAnsi"/>
            <w:noProof/>
            <w:lang w:val="en-US" w:eastAsia="en-US"/>
          </w:rPr>
          <w:tab/>
        </w:r>
        <w:r w:rsidR="003C3184" w:rsidRPr="00C0727F">
          <w:rPr>
            <w:rStyle w:val="Lienhypertexte"/>
            <w:noProof/>
          </w:rPr>
          <w:t>Surveillance de la rougeole</w:t>
        </w:r>
        <w:r w:rsidR="003C3184">
          <w:rPr>
            <w:noProof/>
            <w:webHidden/>
          </w:rPr>
          <w:tab/>
        </w:r>
        <w:r w:rsidR="00B51B2E">
          <w:rPr>
            <w:noProof/>
            <w:webHidden/>
          </w:rPr>
          <w:fldChar w:fldCharType="begin"/>
        </w:r>
        <w:r w:rsidR="003C3184">
          <w:rPr>
            <w:noProof/>
            <w:webHidden/>
          </w:rPr>
          <w:instrText xml:space="preserve"> PAGEREF _Toc458593638 \h </w:instrText>
        </w:r>
        <w:r w:rsidR="00B51B2E">
          <w:rPr>
            <w:noProof/>
            <w:webHidden/>
          </w:rPr>
        </w:r>
        <w:r w:rsidR="00B51B2E">
          <w:rPr>
            <w:noProof/>
            <w:webHidden/>
          </w:rPr>
          <w:fldChar w:fldCharType="separate"/>
        </w:r>
        <w:r w:rsidR="00DC4EEF">
          <w:rPr>
            <w:noProof/>
            <w:webHidden/>
          </w:rPr>
          <w:t>29</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39" w:history="1">
        <w:r w:rsidR="003C3184" w:rsidRPr="00C0727F">
          <w:rPr>
            <w:rStyle w:val="Lienhypertexte"/>
            <w:noProof/>
          </w:rPr>
          <w:t>4.2.3</w:t>
        </w:r>
        <w:r w:rsidR="003C3184">
          <w:rPr>
            <w:rFonts w:asciiTheme="minorHAnsi" w:hAnsiTheme="minorHAnsi"/>
            <w:noProof/>
            <w:lang w:val="en-US" w:eastAsia="en-US"/>
          </w:rPr>
          <w:tab/>
        </w:r>
        <w:r w:rsidR="003C3184" w:rsidRPr="00C0727F">
          <w:rPr>
            <w:rStyle w:val="Lienhypertexte"/>
            <w:noProof/>
          </w:rPr>
          <w:t>Surveillance de la fièvre jaune</w:t>
        </w:r>
        <w:r w:rsidR="003C3184">
          <w:rPr>
            <w:noProof/>
            <w:webHidden/>
          </w:rPr>
          <w:tab/>
        </w:r>
        <w:r w:rsidR="00B51B2E">
          <w:rPr>
            <w:noProof/>
            <w:webHidden/>
          </w:rPr>
          <w:fldChar w:fldCharType="begin"/>
        </w:r>
        <w:r w:rsidR="003C3184">
          <w:rPr>
            <w:noProof/>
            <w:webHidden/>
          </w:rPr>
          <w:instrText xml:space="preserve"> PAGEREF _Toc458593639 \h </w:instrText>
        </w:r>
        <w:r w:rsidR="00B51B2E">
          <w:rPr>
            <w:noProof/>
            <w:webHidden/>
          </w:rPr>
        </w:r>
        <w:r w:rsidR="00B51B2E">
          <w:rPr>
            <w:noProof/>
            <w:webHidden/>
          </w:rPr>
          <w:fldChar w:fldCharType="separate"/>
        </w:r>
        <w:r w:rsidR="00DC4EEF">
          <w:rPr>
            <w:noProof/>
            <w:webHidden/>
          </w:rPr>
          <w:t>29</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40" w:history="1">
        <w:r w:rsidR="003C3184" w:rsidRPr="00C0727F">
          <w:rPr>
            <w:rStyle w:val="Lienhypertexte"/>
            <w:noProof/>
          </w:rPr>
          <w:t>4.2.4</w:t>
        </w:r>
        <w:r w:rsidR="003C3184">
          <w:rPr>
            <w:rFonts w:asciiTheme="minorHAnsi" w:hAnsiTheme="minorHAnsi"/>
            <w:noProof/>
            <w:lang w:val="en-US" w:eastAsia="en-US"/>
          </w:rPr>
          <w:tab/>
        </w:r>
        <w:r w:rsidR="003C3184" w:rsidRPr="00C0727F">
          <w:rPr>
            <w:rStyle w:val="Lienhypertexte"/>
            <w:noProof/>
          </w:rPr>
          <w:t>Surveillance du tétanos Néonatal</w:t>
        </w:r>
        <w:r w:rsidR="003C3184">
          <w:rPr>
            <w:noProof/>
            <w:webHidden/>
          </w:rPr>
          <w:tab/>
        </w:r>
        <w:r w:rsidR="00B51B2E">
          <w:rPr>
            <w:noProof/>
            <w:webHidden/>
          </w:rPr>
          <w:fldChar w:fldCharType="begin"/>
        </w:r>
        <w:r w:rsidR="003C3184">
          <w:rPr>
            <w:noProof/>
            <w:webHidden/>
          </w:rPr>
          <w:instrText xml:space="preserve"> PAGEREF _Toc458593640 \h </w:instrText>
        </w:r>
        <w:r w:rsidR="00B51B2E">
          <w:rPr>
            <w:noProof/>
            <w:webHidden/>
          </w:rPr>
        </w:r>
        <w:r w:rsidR="00B51B2E">
          <w:rPr>
            <w:noProof/>
            <w:webHidden/>
          </w:rPr>
          <w:fldChar w:fldCharType="separate"/>
        </w:r>
        <w:r w:rsidR="00DC4EEF">
          <w:rPr>
            <w:noProof/>
            <w:webHidden/>
          </w:rPr>
          <w:t>29</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41" w:history="1">
        <w:r w:rsidR="003C3184" w:rsidRPr="00C0727F">
          <w:rPr>
            <w:rStyle w:val="Lienhypertexte"/>
            <w:noProof/>
          </w:rPr>
          <w:t>4.2.5</w:t>
        </w:r>
        <w:r w:rsidR="003C3184">
          <w:rPr>
            <w:rFonts w:asciiTheme="minorHAnsi" w:hAnsiTheme="minorHAnsi"/>
            <w:noProof/>
            <w:lang w:val="en-US" w:eastAsia="en-US"/>
          </w:rPr>
          <w:tab/>
        </w:r>
        <w:r w:rsidR="003C3184" w:rsidRPr="00C0727F">
          <w:rPr>
            <w:rStyle w:val="Lienhypertexte"/>
            <w:noProof/>
          </w:rPr>
          <w:t>Surveillance des autres maladies</w:t>
        </w:r>
        <w:r w:rsidR="003C3184">
          <w:rPr>
            <w:noProof/>
            <w:webHidden/>
          </w:rPr>
          <w:tab/>
        </w:r>
        <w:r w:rsidR="00B51B2E">
          <w:rPr>
            <w:noProof/>
            <w:webHidden/>
          </w:rPr>
          <w:fldChar w:fldCharType="begin"/>
        </w:r>
        <w:r w:rsidR="003C3184">
          <w:rPr>
            <w:noProof/>
            <w:webHidden/>
          </w:rPr>
          <w:instrText xml:space="preserve"> PAGEREF _Toc458593641 \h </w:instrText>
        </w:r>
        <w:r w:rsidR="00B51B2E">
          <w:rPr>
            <w:noProof/>
            <w:webHidden/>
          </w:rPr>
        </w:r>
        <w:r w:rsidR="00B51B2E">
          <w:rPr>
            <w:noProof/>
            <w:webHidden/>
          </w:rPr>
          <w:fldChar w:fldCharType="separate"/>
        </w:r>
        <w:r w:rsidR="00DC4EEF">
          <w:rPr>
            <w:noProof/>
            <w:webHidden/>
          </w:rPr>
          <w:t>30</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42" w:history="1">
        <w:r w:rsidR="003C3184" w:rsidRPr="00C0727F">
          <w:rPr>
            <w:rStyle w:val="Lienhypertexte"/>
            <w:noProof/>
          </w:rPr>
          <w:t>4.2.6</w:t>
        </w:r>
        <w:r w:rsidR="003C3184">
          <w:rPr>
            <w:rFonts w:asciiTheme="minorHAnsi" w:hAnsiTheme="minorHAnsi"/>
            <w:noProof/>
            <w:lang w:val="en-US" w:eastAsia="en-US"/>
          </w:rPr>
          <w:tab/>
        </w:r>
        <w:r w:rsidR="003C3184" w:rsidRPr="00C0727F">
          <w:rPr>
            <w:rStyle w:val="Lienhypertexte"/>
            <w:noProof/>
          </w:rPr>
          <w:t>Surveillance des Manifestations Adverses Post Immunisation (MAPI)</w:t>
        </w:r>
        <w:r w:rsidR="003C3184">
          <w:rPr>
            <w:noProof/>
            <w:webHidden/>
          </w:rPr>
          <w:tab/>
        </w:r>
        <w:r w:rsidR="00B51B2E">
          <w:rPr>
            <w:noProof/>
            <w:webHidden/>
          </w:rPr>
          <w:fldChar w:fldCharType="begin"/>
        </w:r>
        <w:r w:rsidR="003C3184">
          <w:rPr>
            <w:noProof/>
            <w:webHidden/>
          </w:rPr>
          <w:instrText xml:space="preserve"> PAGEREF _Toc458593642 \h </w:instrText>
        </w:r>
        <w:r w:rsidR="00B51B2E">
          <w:rPr>
            <w:noProof/>
            <w:webHidden/>
          </w:rPr>
        </w:r>
        <w:r w:rsidR="00B51B2E">
          <w:rPr>
            <w:noProof/>
            <w:webHidden/>
          </w:rPr>
          <w:fldChar w:fldCharType="separate"/>
        </w:r>
        <w:r w:rsidR="00DC4EEF">
          <w:rPr>
            <w:noProof/>
            <w:webHidden/>
          </w:rPr>
          <w:t>30</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43" w:history="1">
        <w:r w:rsidR="003C3184" w:rsidRPr="00C0727F">
          <w:rPr>
            <w:rStyle w:val="Lienhypertexte"/>
            <w:noProof/>
          </w:rPr>
          <w:t>4.3</w:t>
        </w:r>
        <w:r w:rsidR="003C3184">
          <w:rPr>
            <w:rFonts w:asciiTheme="minorHAnsi" w:hAnsiTheme="minorHAnsi"/>
            <w:noProof/>
            <w:lang w:val="en-US" w:eastAsia="en-US"/>
          </w:rPr>
          <w:tab/>
        </w:r>
        <w:r w:rsidR="003C3184" w:rsidRPr="00C0727F">
          <w:rPr>
            <w:rStyle w:val="Lienhypertexte"/>
            <w:noProof/>
          </w:rPr>
          <w:t>VACCINS, CHAINE DU FROID, LOGISTIQUE</w:t>
        </w:r>
        <w:r w:rsidR="003C3184">
          <w:rPr>
            <w:noProof/>
            <w:webHidden/>
          </w:rPr>
          <w:tab/>
        </w:r>
        <w:r w:rsidR="00B51B2E">
          <w:rPr>
            <w:noProof/>
            <w:webHidden/>
          </w:rPr>
          <w:fldChar w:fldCharType="begin"/>
        </w:r>
        <w:r w:rsidR="003C3184">
          <w:rPr>
            <w:noProof/>
            <w:webHidden/>
          </w:rPr>
          <w:instrText xml:space="preserve"> PAGEREF _Toc458593643 \h </w:instrText>
        </w:r>
        <w:r w:rsidR="00B51B2E">
          <w:rPr>
            <w:noProof/>
            <w:webHidden/>
          </w:rPr>
        </w:r>
        <w:r w:rsidR="00B51B2E">
          <w:rPr>
            <w:noProof/>
            <w:webHidden/>
          </w:rPr>
          <w:fldChar w:fldCharType="separate"/>
        </w:r>
        <w:r w:rsidR="00DC4EEF">
          <w:rPr>
            <w:noProof/>
            <w:webHidden/>
          </w:rPr>
          <w:t>30</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44" w:history="1">
        <w:r w:rsidR="003C3184" w:rsidRPr="00C0727F">
          <w:rPr>
            <w:rStyle w:val="Lienhypertexte"/>
            <w:noProof/>
          </w:rPr>
          <w:t>4.3.1</w:t>
        </w:r>
        <w:r w:rsidR="003C3184">
          <w:rPr>
            <w:rFonts w:asciiTheme="minorHAnsi" w:hAnsiTheme="minorHAnsi"/>
            <w:noProof/>
            <w:lang w:val="en-US" w:eastAsia="en-US"/>
          </w:rPr>
          <w:tab/>
        </w:r>
        <w:r w:rsidR="003C3184" w:rsidRPr="00C0727F">
          <w:rPr>
            <w:rStyle w:val="Lienhypertexte"/>
            <w:noProof/>
          </w:rPr>
          <w:t>Approvisionnement en vaccins et matériels d’injection</w:t>
        </w:r>
        <w:r w:rsidR="003C3184">
          <w:rPr>
            <w:noProof/>
            <w:webHidden/>
          </w:rPr>
          <w:tab/>
        </w:r>
        <w:r w:rsidR="00B51B2E">
          <w:rPr>
            <w:noProof/>
            <w:webHidden/>
          </w:rPr>
          <w:fldChar w:fldCharType="begin"/>
        </w:r>
        <w:r w:rsidR="003C3184">
          <w:rPr>
            <w:noProof/>
            <w:webHidden/>
          </w:rPr>
          <w:instrText xml:space="preserve"> PAGEREF _Toc458593644 \h </w:instrText>
        </w:r>
        <w:r w:rsidR="00B51B2E">
          <w:rPr>
            <w:noProof/>
            <w:webHidden/>
          </w:rPr>
        </w:r>
        <w:r w:rsidR="00B51B2E">
          <w:rPr>
            <w:noProof/>
            <w:webHidden/>
          </w:rPr>
          <w:fldChar w:fldCharType="separate"/>
        </w:r>
        <w:r w:rsidR="00DC4EEF">
          <w:rPr>
            <w:noProof/>
            <w:webHidden/>
          </w:rPr>
          <w:t>30</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45" w:history="1">
        <w:r w:rsidR="003C3184" w:rsidRPr="00C0727F">
          <w:rPr>
            <w:rStyle w:val="Lienhypertexte"/>
            <w:noProof/>
          </w:rPr>
          <w:t>4.3.2</w:t>
        </w:r>
        <w:r w:rsidR="003C3184">
          <w:rPr>
            <w:rFonts w:asciiTheme="minorHAnsi" w:hAnsiTheme="minorHAnsi"/>
            <w:noProof/>
            <w:lang w:val="en-US" w:eastAsia="en-US"/>
          </w:rPr>
          <w:tab/>
        </w:r>
        <w:r w:rsidR="003C3184" w:rsidRPr="00C0727F">
          <w:rPr>
            <w:rStyle w:val="Lienhypertexte"/>
            <w:noProof/>
          </w:rPr>
          <w:t>Situation des équipements de la chaine du froid</w:t>
        </w:r>
        <w:r w:rsidR="003C3184">
          <w:rPr>
            <w:noProof/>
            <w:webHidden/>
          </w:rPr>
          <w:tab/>
        </w:r>
        <w:r w:rsidR="00B51B2E">
          <w:rPr>
            <w:noProof/>
            <w:webHidden/>
          </w:rPr>
          <w:fldChar w:fldCharType="begin"/>
        </w:r>
        <w:r w:rsidR="003C3184">
          <w:rPr>
            <w:noProof/>
            <w:webHidden/>
          </w:rPr>
          <w:instrText xml:space="preserve"> PAGEREF _Toc458593645 \h </w:instrText>
        </w:r>
        <w:r w:rsidR="00B51B2E">
          <w:rPr>
            <w:noProof/>
            <w:webHidden/>
          </w:rPr>
        </w:r>
        <w:r w:rsidR="00B51B2E">
          <w:rPr>
            <w:noProof/>
            <w:webHidden/>
          </w:rPr>
          <w:fldChar w:fldCharType="separate"/>
        </w:r>
        <w:r w:rsidR="00DC4EEF">
          <w:rPr>
            <w:noProof/>
            <w:webHidden/>
          </w:rPr>
          <w:t>32</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46" w:history="1">
        <w:r w:rsidR="003C3184" w:rsidRPr="00C0727F">
          <w:rPr>
            <w:rStyle w:val="Lienhypertexte"/>
            <w:noProof/>
          </w:rPr>
          <w:t>4.3.3</w:t>
        </w:r>
        <w:r w:rsidR="003C3184">
          <w:rPr>
            <w:rFonts w:asciiTheme="minorHAnsi" w:hAnsiTheme="minorHAnsi"/>
            <w:noProof/>
            <w:lang w:val="en-US" w:eastAsia="en-US"/>
          </w:rPr>
          <w:tab/>
        </w:r>
        <w:r w:rsidR="003C3184" w:rsidRPr="00C0727F">
          <w:rPr>
            <w:rStyle w:val="Lienhypertexte"/>
            <w:noProof/>
          </w:rPr>
          <w:t>Capacités de stockage (Chaîne de froid)</w:t>
        </w:r>
        <w:r w:rsidR="003C3184">
          <w:rPr>
            <w:noProof/>
            <w:webHidden/>
          </w:rPr>
          <w:tab/>
        </w:r>
        <w:r w:rsidR="00B51B2E">
          <w:rPr>
            <w:noProof/>
            <w:webHidden/>
          </w:rPr>
          <w:fldChar w:fldCharType="begin"/>
        </w:r>
        <w:r w:rsidR="003C3184">
          <w:rPr>
            <w:noProof/>
            <w:webHidden/>
          </w:rPr>
          <w:instrText xml:space="preserve"> PAGEREF _Toc458593646 \h </w:instrText>
        </w:r>
        <w:r w:rsidR="00B51B2E">
          <w:rPr>
            <w:noProof/>
            <w:webHidden/>
          </w:rPr>
        </w:r>
        <w:r w:rsidR="00B51B2E">
          <w:rPr>
            <w:noProof/>
            <w:webHidden/>
          </w:rPr>
          <w:fldChar w:fldCharType="separate"/>
        </w:r>
        <w:r w:rsidR="00DC4EEF">
          <w:rPr>
            <w:noProof/>
            <w:webHidden/>
          </w:rPr>
          <w:t>32</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47" w:history="1">
        <w:r w:rsidR="003C3184" w:rsidRPr="00C0727F">
          <w:rPr>
            <w:rStyle w:val="Lienhypertexte"/>
            <w:noProof/>
          </w:rPr>
          <w:t>4.3.4</w:t>
        </w:r>
        <w:r w:rsidR="003C3184">
          <w:rPr>
            <w:rFonts w:asciiTheme="minorHAnsi" w:hAnsiTheme="minorHAnsi"/>
            <w:noProof/>
            <w:lang w:val="en-US" w:eastAsia="en-US"/>
          </w:rPr>
          <w:tab/>
        </w:r>
        <w:r w:rsidR="003C3184" w:rsidRPr="00C0727F">
          <w:rPr>
            <w:rStyle w:val="Lienhypertexte"/>
            <w:noProof/>
          </w:rPr>
          <w:t>Gestion des vaccins</w:t>
        </w:r>
        <w:r w:rsidR="003C3184">
          <w:rPr>
            <w:noProof/>
            <w:webHidden/>
          </w:rPr>
          <w:tab/>
        </w:r>
        <w:r w:rsidR="00B51B2E">
          <w:rPr>
            <w:noProof/>
            <w:webHidden/>
          </w:rPr>
          <w:fldChar w:fldCharType="begin"/>
        </w:r>
        <w:r w:rsidR="003C3184">
          <w:rPr>
            <w:noProof/>
            <w:webHidden/>
          </w:rPr>
          <w:instrText xml:space="preserve"> PAGEREF _Toc458593647 \h </w:instrText>
        </w:r>
        <w:r w:rsidR="00B51B2E">
          <w:rPr>
            <w:noProof/>
            <w:webHidden/>
          </w:rPr>
        </w:r>
        <w:r w:rsidR="00B51B2E">
          <w:rPr>
            <w:noProof/>
            <w:webHidden/>
          </w:rPr>
          <w:fldChar w:fldCharType="separate"/>
        </w:r>
        <w:r w:rsidR="00DC4EEF">
          <w:rPr>
            <w:noProof/>
            <w:webHidden/>
          </w:rPr>
          <w:t>42</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48" w:history="1">
        <w:r w:rsidR="003C3184" w:rsidRPr="00C0727F">
          <w:rPr>
            <w:rStyle w:val="Lienhypertexte"/>
            <w:noProof/>
          </w:rPr>
          <w:t>4.3.5</w:t>
        </w:r>
        <w:r w:rsidR="003C3184">
          <w:rPr>
            <w:rFonts w:asciiTheme="minorHAnsi" w:hAnsiTheme="minorHAnsi"/>
            <w:noProof/>
            <w:lang w:val="en-US" w:eastAsia="en-US"/>
          </w:rPr>
          <w:tab/>
        </w:r>
        <w:r w:rsidR="003C3184" w:rsidRPr="00C0727F">
          <w:rPr>
            <w:rStyle w:val="Lienhypertexte"/>
            <w:noProof/>
          </w:rPr>
          <w:t>Logistique</w:t>
        </w:r>
        <w:r w:rsidR="003C3184">
          <w:rPr>
            <w:noProof/>
            <w:webHidden/>
          </w:rPr>
          <w:tab/>
        </w:r>
        <w:r w:rsidR="00B51B2E">
          <w:rPr>
            <w:noProof/>
            <w:webHidden/>
          </w:rPr>
          <w:fldChar w:fldCharType="begin"/>
        </w:r>
        <w:r w:rsidR="003C3184">
          <w:rPr>
            <w:noProof/>
            <w:webHidden/>
          </w:rPr>
          <w:instrText xml:space="preserve"> PAGEREF _Toc458593648 \h </w:instrText>
        </w:r>
        <w:r w:rsidR="00B51B2E">
          <w:rPr>
            <w:noProof/>
            <w:webHidden/>
          </w:rPr>
        </w:r>
        <w:r w:rsidR="00B51B2E">
          <w:rPr>
            <w:noProof/>
            <w:webHidden/>
          </w:rPr>
          <w:fldChar w:fldCharType="separate"/>
        </w:r>
        <w:r w:rsidR="00DC4EEF">
          <w:rPr>
            <w:noProof/>
            <w:webHidden/>
          </w:rPr>
          <w:t>43</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49" w:history="1">
        <w:r w:rsidR="003C3184" w:rsidRPr="00C0727F">
          <w:rPr>
            <w:rStyle w:val="Lienhypertexte"/>
            <w:noProof/>
          </w:rPr>
          <w:t>4.4</w:t>
        </w:r>
        <w:r w:rsidR="003C3184">
          <w:rPr>
            <w:rFonts w:asciiTheme="minorHAnsi" w:hAnsiTheme="minorHAnsi"/>
            <w:noProof/>
            <w:lang w:val="en-US" w:eastAsia="en-US"/>
          </w:rPr>
          <w:tab/>
        </w:r>
        <w:r w:rsidR="003C3184" w:rsidRPr="00C0727F">
          <w:rPr>
            <w:rStyle w:val="Lienhypertexte"/>
            <w:noProof/>
          </w:rPr>
          <w:t>GESTION DU PROGRAMME</w:t>
        </w:r>
        <w:r w:rsidR="003C3184">
          <w:rPr>
            <w:noProof/>
            <w:webHidden/>
          </w:rPr>
          <w:tab/>
        </w:r>
        <w:r w:rsidR="00B51B2E">
          <w:rPr>
            <w:noProof/>
            <w:webHidden/>
          </w:rPr>
          <w:fldChar w:fldCharType="begin"/>
        </w:r>
        <w:r w:rsidR="003C3184">
          <w:rPr>
            <w:noProof/>
            <w:webHidden/>
          </w:rPr>
          <w:instrText xml:space="preserve"> PAGEREF _Toc458593649 \h </w:instrText>
        </w:r>
        <w:r w:rsidR="00B51B2E">
          <w:rPr>
            <w:noProof/>
            <w:webHidden/>
          </w:rPr>
        </w:r>
        <w:r w:rsidR="00B51B2E">
          <w:rPr>
            <w:noProof/>
            <w:webHidden/>
          </w:rPr>
          <w:fldChar w:fldCharType="separate"/>
        </w:r>
        <w:r w:rsidR="00DC4EEF">
          <w:rPr>
            <w:noProof/>
            <w:webHidden/>
          </w:rPr>
          <w:t>45</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50" w:history="1">
        <w:r w:rsidR="003C3184" w:rsidRPr="00C0727F">
          <w:rPr>
            <w:rStyle w:val="Lienhypertexte"/>
            <w:noProof/>
          </w:rPr>
          <w:t>4.4.1</w:t>
        </w:r>
        <w:r w:rsidR="003C3184">
          <w:rPr>
            <w:rFonts w:asciiTheme="minorHAnsi" w:hAnsiTheme="minorHAnsi"/>
            <w:noProof/>
            <w:lang w:val="en-US" w:eastAsia="en-US"/>
          </w:rPr>
          <w:tab/>
        </w:r>
        <w:r w:rsidR="003C3184" w:rsidRPr="00C0727F">
          <w:rPr>
            <w:rStyle w:val="Lienhypertexte"/>
            <w:noProof/>
          </w:rPr>
          <w:t>Organisation générale du PEV</w:t>
        </w:r>
        <w:r w:rsidR="003C3184">
          <w:rPr>
            <w:noProof/>
            <w:webHidden/>
          </w:rPr>
          <w:tab/>
        </w:r>
        <w:r w:rsidR="00B51B2E">
          <w:rPr>
            <w:noProof/>
            <w:webHidden/>
          </w:rPr>
          <w:fldChar w:fldCharType="begin"/>
        </w:r>
        <w:r w:rsidR="003C3184">
          <w:rPr>
            <w:noProof/>
            <w:webHidden/>
          </w:rPr>
          <w:instrText xml:space="preserve"> PAGEREF _Toc458593650 \h </w:instrText>
        </w:r>
        <w:r w:rsidR="00B51B2E">
          <w:rPr>
            <w:noProof/>
            <w:webHidden/>
          </w:rPr>
        </w:r>
        <w:r w:rsidR="00B51B2E">
          <w:rPr>
            <w:noProof/>
            <w:webHidden/>
          </w:rPr>
          <w:fldChar w:fldCharType="separate"/>
        </w:r>
        <w:r w:rsidR="00DC4EEF">
          <w:rPr>
            <w:noProof/>
            <w:webHidden/>
          </w:rPr>
          <w:t>45</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51" w:history="1">
        <w:r w:rsidR="003C3184" w:rsidRPr="00C0727F">
          <w:rPr>
            <w:rStyle w:val="Lienhypertexte"/>
            <w:noProof/>
          </w:rPr>
          <w:t>4.5</w:t>
        </w:r>
        <w:r w:rsidR="003C3184">
          <w:rPr>
            <w:rFonts w:asciiTheme="minorHAnsi" w:hAnsiTheme="minorHAnsi"/>
            <w:noProof/>
            <w:lang w:val="en-US" w:eastAsia="en-US"/>
          </w:rPr>
          <w:tab/>
        </w:r>
        <w:r w:rsidR="003C3184" w:rsidRPr="00C0727F">
          <w:rPr>
            <w:rStyle w:val="Lienhypertexte"/>
            <w:noProof/>
          </w:rPr>
          <w:t>GESTION ADMINISTRATIVE</w:t>
        </w:r>
        <w:r w:rsidR="003C3184">
          <w:rPr>
            <w:noProof/>
            <w:webHidden/>
          </w:rPr>
          <w:tab/>
        </w:r>
        <w:r w:rsidR="00B51B2E">
          <w:rPr>
            <w:noProof/>
            <w:webHidden/>
          </w:rPr>
          <w:fldChar w:fldCharType="begin"/>
        </w:r>
        <w:r w:rsidR="003C3184">
          <w:rPr>
            <w:noProof/>
            <w:webHidden/>
          </w:rPr>
          <w:instrText xml:space="preserve"> PAGEREF _Toc458593651 \h </w:instrText>
        </w:r>
        <w:r w:rsidR="00B51B2E">
          <w:rPr>
            <w:noProof/>
            <w:webHidden/>
          </w:rPr>
        </w:r>
        <w:r w:rsidR="00B51B2E">
          <w:rPr>
            <w:noProof/>
            <w:webHidden/>
          </w:rPr>
          <w:fldChar w:fldCharType="separate"/>
        </w:r>
        <w:r w:rsidR="00DC4EEF">
          <w:rPr>
            <w:noProof/>
            <w:webHidden/>
          </w:rPr>
          <w:t>45</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52" w:history="1">
        <w:r w:rsidR="003C3184" w:rsidRPr="00C0727F">
          <w:rPr>
            <w:rStyle w:val="Lienhypertexte"/>
            <w:noProof/>
          </w:rPr>
          <w:t>4.5.1</w:t>
        </w:r>
        <w:r w:rsidR="003C3184">
          <w:rPr>
            <w:rFonts w:asciiTheme="minorHAnsi" w:hAnsiTheme="minorHAnsi"/>
            <w:noProof/>
            <w:lang w:val="en-US" w:eastAsia="en-US"/>
          </w:rPr>
          <w:tab/>
        </w:r>
        <w:r w:rsidR="003C3184" w:rsidRPr="00C0727F">
          <w:rPr>
            <w:rStyle w:val="Lienhypertexte"/>
            <w:noProof/>
          </w:rPr>
          <w:t>Coordination et partenariat</w:t>
        </w:r>
        <w:r w:rsidR="003C3184">
          <w:rPr>
            <w:noProof/>
            <w:webHidden/>
          </w:rPr>
          <w:tab/>
        </w:r>
        <w:r w:rsidR="00B51B2E">
          <w:rPr>
            <w:noProof/>
            <w:webHidden/>
          </w:rPr>
          <w:fldChar w:fldCharType="begin"/>
        </w:r>
        <w:r w:rsidR="003C3184">
          <w:rPr>
            <w:noProof/>
            <w:webHidden/>
          </w:rPr>
          <w:instrText xml:space="preserve"> PAGEREF _Toc458593652 \h </w:instrText>
        </w:r>
        <w:r w:rsidR="00B51B2E">
          <w:rPr>
            <w:noProof/>
            <w:webHidden/>
          </w:rPr>
        </w:r>
        <w:r w:rsidR="00B51B2E">
          <w:rPr>
            <w:noProof/>
            <w:webHidden/>
          </w:rPr>
          <w:fldChar w:fldCharType="separate"/>
        </w:r>
        <w:r w:rsidR="00DC4EEF">
          <w:rPr>
            <w:noProof/>
            <w:webHidden/>
          </w:rPr>
          <w:t>46</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53" w:history="1">
        <w:r w:rsidR="003C3184" w:rsidRPr="00C0727F">
          <w:rPr>
            <w:rStyle w:val="Lienhypertexte"/>
            <w:noProof/>
          </w:rPr>
          <w:t>4.5.2</w:t>
        </w:r>
        <w:r w:rsidR="003C3184">
          <w:rPr>
            <w:rFonts w:asciiTheme="minorHAnsi" w:hAnsiTheme="minorHAnsi"/>
            <w:noProof/>
            <w:lang w:val="en-US" w:eastAsia="en-US"/>
          </w:rPr>
          <w:tab/>
        </w:r>
        <w:r w:rsidR="003C3184" w:rsidRPr="00C0727F">
          <w:rPr>
            <w:rStyle w:val="Lienhypertexte"/>
            <w:noProof/>
          </w:rPr>
          <w:t>Gestion des Ressources Humaines et renforcement des capacités</w:t>
        </w:r>
        <w:r w:rsidR="003C3184">
          <w:rPr>
            <w:noProof/>
            <w:webHidden/>
          </w:rPr>
          <w:tab/>
        </w:r>
        <w:r w:rsidR="00B51B2E">
          <w:rPr>
            <w:noProof/>
            <w:webHidden/>
          </w:rPr>
          <w:fldChar w:fldCharType="begin"/>
        </w:r>
        <w:r w:rsidR="003C3184">
          <w:rPr>
            <w:noProof/>
            <w:webHidden/>
          </w:rPr>
          <w:instrText xml:space="preserve"> PAGEREF _Toc458593653 \h </w:instrText>
        </w:r>
        <w:r w:rsidR="00B51B2E">
          <w:rPr>
            <w:noProof/>
            <w:webHidden/>
          </w:rPr>
        </w:r>
        <w:r w:rsidR="00B51B2E">
          <w:rPr>
            <w:noProof/>
            <w:webHidden/>
          </w:rPr>
          <w:fldChar w:fldCharType="separate"/>
        </w:r>
        <w:r w:rsidR="00DC4EEF">
          <w:rPr>
            <w:noProof/>
            <w:webHidden/>
          </w:rPr>
          <w:t>46</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54" w:history="1">
        <w:r w:rsidR="003C3184" w:rsidRPr="00C0727F">
          <w:rPr>
            <w:rStyle w:val="Lienhypertexte"/>
            <w:noProof/>
          </w:rPr>
          <w:t>4.5.3</w:t>
        </w:r>
        <w:r w:rsidR="003C3184">
          <w:rPr>
            <w:rFonts w:asciiTheme="minorHAnsi" w:hAnsiTheme="minorHAnsi"/>
            <w:noProof/>
            <w:lang w:val="en-US" w:eastAsia="en-US"/>
          </w:rPr>
          <w:tab/>
        </w:r>
        <w:r w:rsidR="003C3184" w:rsidRPr="00C0727F">
          <w:rPr>
            <w:rStyle w:val="Lienhypertexte"/>
            <w:noProof/>
          </w:rPr>
          <w:t>Planification</w:t>
        </w:r>
        <w:r w:rsidR="003C3184">
          <w:rPr>
            <w:noProof/>
            <w:webHidden/>
          </w:rPr>
          <w:tab/>
        </w:r>
        <w:r w:rsidR="00B51B2E">
          <w:rPr>
            <w:noProof/>
            <w:webHidden/>
          </w:rPr>
          <w:fldChar w:fldCharType="begin"/>
        </w:r>
        <w:r w:rsidR="003C3184">
          <w:rPr>
            <w:noProof/>
            <w:webHidden/>
          </w:rPr>
          <w:instrText xml:space="preserve"> PAGEREF _Toc458593654 \h </w:instrText>
        </w:r>
        <w:r w:rsidR="00B51B2E">
          <w:rPr>
            <w:noProof/>
            <w:webHidden/>
          </w:rPr>
        </w:r>
        <w:r w:rsidR="00B51B2E">
          <w:rPr>
            <w:noProof/>
            <w:webHidden/>
          </w:rPr>
          <w:fldChar w:fldCharType="separate"/>
        </w:r>
        <w:r w:rsidR="00DC4EEF">
          <w:rPr>
            <w:noProof/>
            <w:webHidden/>
          </w:rPr>
          <w:t>47</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55" w:history="1">
        <w:r w:rsidR="003C3184" w:rsidRPr="00C0727F">
          <w:rPr>
            <w:rStyle w:val="Lienhypertexte"/>
            <w:noProof/>
          </w:rPr>
          <w:t>4.5.4</w:t>
        </w:r>
        <w:r w:rsidR="003C3184">
          <w:rPr>
            <w:rFonts w:asciiTheme="minorHAnsi" w:hAnsiTheme="minorHAnsi"/>
            <w:noProof/>
            <w:lang w:val="en-US" w:eastAsia="en-US"/>
          </w:rPr>
          <w:tab/>
        </w:r>
        <w:r w:rsidR="003C3184" w:rsidRPr="00C0727F">
          <w:rPr>
            <w:rStyle w:val="Lienhypertexte"/>
            <w:noProof/>
          </w:rPr>
          <w:t>Supervision / Monitoring / Evaluation</w:t>
        </w:r>
        <w:r w:rsidR="003C3184">
          <w:rPr>
            <w:noProof/>
            <w:webHidden/>
          </w:rPr>
          <w:tab/>
        </w:r>
        <w:r w:rsidR="00B51B2E">
          <w:rPr>
            <w:noProof/>
            <w:webHidden/>
          </w:rPr>
          <w:fldChar w:fldCharType="begin"/>
        </w:r>
        <w:r w:rsidR="003C3184">
          <w:rPr>
            <w:noProof/>
            <w:webHidden/>
          </w:rPr>
          <w:instrText xml:space="preserve"> PAGEREF _Toc458593655 \h </w:instrText>
        </w:r>
        <w:r w:rsidR="00B51B2E">
          <w:rPr>
            <w:noProof/>
            <w:webHidden/>
          </w:rPr>
        </w:r>
        <w:r w:rsidR="00B51B2E">
          <w:rPr>
            <w:noProof/>
            <w:webHidden/>
          </w:rPr>
          <w:fldChar w:fldCharType="separate"/>
        </w:r>
        <w:r w:rsidR="00DC4EEF">
          <w:rPr>
            <w:noProof/>
            <w:webHidden/>
          </w:rPr>
          <w:t>47</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56" w:history="1">
        <w:r w:rsidR="003C3184" w:rsidRPr="00C0727F">
          <w:rPr>
            <w:rStyle w:val="Lienhypertexte"/>
            <w:noProof/>
          </w:rPr>
          <w:t>4.5.5</w:t>
        </w:r>
        <w:r w:rsidR="003C3184">
          <w:rPr>
            <w:rFonts w:asciiTheme="minorHAnsi" w:hAnsiTheme="minorHAnsi"/>
            <w:noProof/>
            <w:lang w:val="en-US" w:eastAsia="en-US"/>
          </w:rPr>
          <w:tab/>
        </w:r>
        <w:r w:rsidR="003C3184" w:rsidRPr="00C0727F">
          <w:rPr>
            <w:rStyle w:val="Lienhypertexte"/>
            <w:noProof/>
          </w:rPr>
          <w:t>Financement du programme</w:t>
        </w:r>
        <w:r w:rsidR="003C3184">
          <w:rPr>
            <w:noProof/>
            <w:webHidden/>
          </w:rPr>
          <w:tab/>
        </w:r>
        <w:r w:rsidR="00B51B2E">
          <w:rPr>
            <w:noProof/>
            <w:webHidden/>
          </w:rPr>
          <w:fldChar w:fldCharType="begin"/>
        </w:r>
        <w:r w:rsidR="003C3184">
          <w:rPr>
            <w:noProof/>
            <w:webHidden/>
          </w:rPr>
          <w:instrText xml:space="preserve"> PAGEREF _Toc458593656 \h </w:instrText>
        </w:r>
        <w:r w:rsidR="00B51B2E">
          <w:rPr>
            <w:noProof/>
            <w:webHidden/>
          </w:rPr>
        </w:r>
        <w:r w:rsidR="00B51B2E">
          <w:rPr>
            <w:noProof/>
            <w:webHidden/>
          </w:rPr>
          <w:fldChar w:fldCharType="separate"/>
        </w:r>
        <w:r w:rsidR="00DC4EEF">
          <w:rPr>
            <w:noProof/>
            <w:webHidden/>
          </w:rPr>
          <w:t>48</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57" w:history="1">
        <w:r w:rsidR="003C3184" w:rsidRPr="00C0727F">
          <w:rPr>
            <w:rStyle w:val="Lienhypertexte"/>
            <w:noProof/>
          </w:rPr>
          <w:t>4.6</w:t>
        </w:r>
        <w:r w:rsidR="003C3184">
          <w:rPr>
            <w:rFonts w:asciiTheme="minorHAnsi" w:hAnsiTheme="minorHAnsi"/>
            <w:noProof/>
            <w:lang w:val="en-US" w:eastAsia="en-US"/>
          </w:rPr>
          <w:tab/>
        </w:r>
        <w:r w:rsidR="003C3184" w:rsidRPr="00C0727F">
          <w:rPr>
            <w:rStyle w:val="Lienhypertexte"/>
            <w:noProof/>
          </w:rPr>
          <w:t>COMMUNICATION ET MOBILISATION SOCIALE</w:t>
        </w:r>
        <w:r w:rsidR="003C3184">
          <w:rPr>
            <w:noProof/>
            <w:webHidden/>
          </w:rPr>
          <w:tab/>
        </w:r>
        <w:r w:rsidR="00B51B2E">
          <w:rPr>
            <w:noProof/>
            <w:webHidden/>
          </w:rPr>
          <w:fldChar w:fldCharType="begin"/>
        </w:r>
        <w:r w:rsidR="003C3184">
          <w:rPr>
            <w:noProof/>
            <w:webHidden/>
          </w:rPr>
          <w:instrText xml:space="preserve"> PAGEREF _Toc458593657 \h </w:instrText>
        </w:r>
        <w:r w:rsidR="00B51B2E">
          <w:rPr>
            <w:noProof/>
            <w:webHidden/>
          </w:rPr>
        </w:r>
        <w:r w:rsidR="00B51B2E">
          <w:rPr>
            <w:noProof/>
            <w:webHidden/>
          </w:rPr>
          <w:fldChar w:fldCharType="separate"/>
        </w:r>
        <w:r w:rsidR="00DC4EEF">
          <w:rPr>
            <w:noProof/>
            <w:webHidden/>
          </w:rPr>
          <w:t>48</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58" w:history="1">
        <w:r w:rsidR="003C3184" w:rsidRPr="00C0727F">
          <w:rPr>
            <w:rStyle w:val="Lienhypertexte"/>
            <w:noProof/>
          </w:rPr>
          <w:t>4.7</w:t>
        </w:r>
        <w:r w:rsidR="003C3184">
          <w:rPr>
            <w:rFonts w:asciiTheme="minorHAnsi" w:hAnsiTheme="minorHAnsi"/>
            <w:noProof/>
            <w:lang w:val="en-US" w:eastAsia="en-US"/>
          </w:rPr>
          <w:tab/>
        </w:r>
        <w:r w:rsidR="003C3184" w:rsidRPr="00C0727F">
          <w:rPr>
            <w:rStyle w:val="Lienhypertexte"/>
            <w:noProof/>
          </w:rPr>
          <w:t>SYNTHESE DES FORCES ET FAIBLESSES</w:t>
        </w:r>
        <w:r w:rsidR="003C3184">
          <w:rPr>
            <w:noProof/>
            <w:webHidden/>
          </w:rPr>
          <w:tab/>
        </w:r>
        <w:r w:rsidR="00B51B2E">
          <w:rPr>
            <w:noProof/>
            <w:webHidden/>
          </w:rPr>
          <w:fldChar w:fldCharType="begin"/>
        </w:r>
        <w:r w:rsidR="003C3184">
          <w:rPr>
            <w:noProof/>
            <w:webHidden/>
          </w:rPr>
          <w:instrText xml:space="preserve"> PAGEREF _Toc458593658 \h </w:instrText>
        </w:r>
        <w:r w:rsidR="00B51B2E">
          <w:rPr>
            <w:noProof/>
            <w:webHidden/>
          </w:rPr>
        </w:r>
        <w:r w:rsidR="00B51B2E">
          <w:rPr>
            <w:noProof/>
            <w:webHidden/>
          </w:rPr>
          <w:fldChar w:fldCharType="separate"/>
        </w:r>
        <w:r w:rsidR="00DC4EEF">
          <w:rPr>
            <w:noProof/>
            <w:webHidden/>
          </w:rPr>
          <w:t>51</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59" w:history="1">
        <w:r w:rsidR="003C3184" w:rsidRPr="00C0727F">
          <w:rPr>
            <w:rStyle w:val="Lienhypertexte"/>
            <w:noProof/>
          </w:rPr>
          <w:t>4.8</w:t>
        </w:r>
        <w:r w:rsidR="003C3184">
          <w:rPr>
            <w:rFonts w:asciiTheme="minorHAnsi" w:hAnsiTheme="minorHAnsi"/>
            <w:noProof/>
            <w:lang w:val="en-US" w:eastAsia="en-US"/>
          </w:rPr>
          <w:tab/>
        </w:r>
        <w:r w:rsidR="003C3184" w:rsidRPr="00C0727F">
          <w:rPr>
            <w:rStyle w:val="Lienhypertexte"/>
            <w:noProof/>
          </w:rPr>
          <w:t>OPPORTUNITES ET MENACES</w:t>
        </w:r>
        <w:r w:rsidR="003C3184">
          <w:rPr>
            <w:noProof/>
            <w:webHidden/>
          </w:rPr>
          <w:tab/>
        </w:r>
        <w:r w:rsidR="00B51B2E">
          <w:rPr>
            <w:noProof/>
            <w:webHidden/>
          </w:rPr>
          <w:fldChar w:fldCharType="begin"/>
        </w:r>
        <w:r w:rsidR="003C3184">
          <w:rPr>
            <w:noProof/>
            <w:webHidden/>
          </w:rPr>
          <w:instrText xml:space="preserve"> PAGEREF _Toc458593659 \h </w:instrText>
        </w:r>
        <w:r w:rsidR="00B51B2E">
          <w:rPr>
            <w:noProof/>
            <w:webHidden/>
          </w:rPr>
        </w:r>
        <w:r w:rsidR="00B51B2E">
          <w:rPr>
            <w:noProof/>
            <w:webHidden/>
          </w:rPr>
          <w:fldChar w:fldCharType="separate"/>
        </w:r>
        <w:r w:rsidR="00DC4EEF">
          <w:rPr>
            <w:noProof/>
            <w:webHidden/>
          </w:rPr>
          <w:t>55</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60" w:history="1">
        <w:r w:rsidR="003C3184" w:rsidRPr="00C0727F">
          <w:rPr>
            <w:rStyle w:val="Lienhypertexte"/>
            <w:noProof/>
          </w:rPr>
          <w:t>4.9</w:t>
        </w:r>
        <w:r w:rsidR="003C3184">
          <w:rPr>
            <w:rFonts w:asciiTheme="minorHAnsi" w:hAnsiTheme="minorHAnsi"/>
            <w:noProof/>
            <w:lang w:val="en-US" w:eastAsia="en-US"/>
          </w:rPr>
          <w:tab/>
        </w:r>
        <w:r w:rsidR="003C3184" w:rsidRPr="00C0727F">
          <w:rPr>
            <w:rStyle w:val="Lienhypertexte"/>
            <w:noProof/>
          </w:rPr>
          <w:t>IDENTIFICATION DES PROBLEMES PRIORITAIRES</w:t>
        </w:r>
        <w:r w:rsidR="003C3184">
          <w:rPr>
            <w:noProof/>
            <w:webHidden/>
          </w:rPr>
          <w:tab/>
        </w:r>
        <w:r w:rsidR="00B51B2E">
          <w:rPr>
            <w:noProof/>
            <w:webHidden/>
          </w:rPr>
          <w:fldChar w:fldCharType="begin"/>
        </w:r>
        <w:r w:rsidR="003C3184">
          <w:rPr>
            <w:noProof/>
            <w:webHidden/>
          </w:rPr>
          <w:instrText xml:space="preserve"> PAGEREF _Toc458593660 \h </w:instrText>
        </w:r>
        <w:r w:rsidR="00B51B2E">
          <w:rPr>
            <w:noProof/>
            <w:webHidden/>
          </w:rPr>
        </w:r>
        <w:r w:rsidR="00B51B2E">
          <w:rPr>
            <w:noProof/>
            <w:webHidden/>
          </w:rPr>
          <w:fldChar w:fldCharType="separate"/>
        </w:r>
        <w:r w:rsidR="00DC4EEF">
          <w:rPr>
            <w:noProof/>
            <w:webHidden/>
          </w:rPr>
          <w:t>57</w:t>
        </w:r>
        <w:r w:rsidR="00B51B2E">
          <w:rPr>
            <w:noProof/>
            <w:webHidden/>
          </w:rPr>
          <w:fldChar w:fldCharType="end"/>
        </w:r>
      </w:hyperlink>
    </w:p>
    <w:p w:rsidR="003C3184" w:rsidRDefault="00813A59">
      <w:pPr>
        <w:pStyle w:val="TM1"/>
        <w:tabs>
          <w:tab w:val="left" w:pos="440"/>
          <w:tab w:val="right" w:leader="dot" w:pos="10070"/>
        </w:tabs>
        <w:rPr>
          <w:rFonts w:asciiTheme="minorHAnsi" w:hAnsiTheme="minorHAnsi"/>
          <w:noProof/>
          <w:lang w:val="en-US" w:eastAsia="en-US"/>
        </w:rPr>
      </w:pPr>
      <w:hyperlink w:anchor="_Toc458593661" w:history="1">
        <w:r w:rsidR="003C3184" w:rsidRPr="00C0727F">
          <w:rPr>
            <w:rStyle w:val="Lienhypertexte"/>
            <w:noProof/>
          </w:rPr>
          <w:t>5</w:t>
        </w:r>
        <w:r w:rsidR="003C3184">
          <w:rPr>
            <w:rFonts w:asciiTheme="minorHAnsi" w:hAnsiTheme="minorHAnsi"/>
            <w:noProof/>
            <w:lang w:val="en-US" w:eastAsia="en-US"/>
          </w:rPr>
          <w:tab/>
        </w:r>
        <w:r w:rsidR="003C3184" w:rsidRPr="00C0727F">
          <w:rPr>
            <w:rStyle w:val="Lienhypertexte"/>
            <w:noProof/>
          </w:rPr>
          <w:t>PLAN PLURIANNUEL COMPLET 2016-2020</w:t>
        </w:r>
        <w:r w:rsidR="003C3184">
          <w:rPr>
            <w:noProof/>
            <w:webHidden/>
          </w:rPr>
          <w:tab/>
        </w:r>
        <w:r w:rsidR="00B51B2E">
          <w:rPr>
            <w:noProof/>
            <w:webHidden/>
          </w:rPr>
          <w:fldChar w:fldCharType="begin"/>
        </w:r>
        <w:r w:rsidR="003C3184">
          <w:rPr>
            <w:noProof/>
            <w:webHidden/>
          </w:rPr>
          <w:instrText xml:space="preserve"> PAGEREF _Toc458593661 \h </w:instrText>
        </w:r>
        <w:r w:rsidR="00B51B2E">
          <w:rPr>
            <w:noProof/>
            <w:webHidden/>
          </w:rPr>
        </w:r>
        <w:r w:rsidR="00B51B2E">
          <w:rPr>
            <w:noProof/>
            <w:webHidden/>
          </w:rPr>
          <w:fldChar w:fldCharType="separate"/>
        </w:r>
        <w:r w:rsidR="00DC4EEF">
          <w:rPr>
            <w:noProof/>
            <w:webHidden/>
          </w:rPr>
          <w:t>58</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62" w:history="1">
        <w:r w:rsidR="003C3184" w:rsidRPr="00C0727F">
          <w:rPr>
            <w:rStyle w:val="Lienhypertexte"/>
            <w:noProof/>
          </w:rPr>
          <w:t>5.1</w:t>
        </w:r>
        <w:r w:rsidR="003C3184">
          <w:rPr>
            <w:rFonts w:asciiTheme="minorHAnsi" w:hAnsiTheme="minorHAnsi"/>
            <w:noProof/>
            <w:lang w:val="en-US" w:eastAsia="en-US"/>
          </w:rPr>
          <w:tab/>
        </w:r>
        <w:r w:rsidR="003C3184" w:rsidRPr="00C0727F">
          <w:rPr>
            <w:rStyle w:val="Lienhypertexte"/>
            <w:noProof/>
          </w:rPr>
          <w:t>BUT ET OBJECTIFS</w:t>
        </w:r>
        <w:r w:rsidR="003C3184">
          <w:rPr>
            <w:noProof/>
            <w:webHidden/>
          </w:rPr>
          <w:tab/>
        </w:r>
        <w:r w:rsidR="00B51B2E">
          <w:rPr>
            <w:noProof/>
            <w:webHidden/>
          </w:rPr>
          <w:fldChar w:fldCharType="begin"/>
        </w:r>
        <w:r w:rsidR="003C3184">
          <w:rPr>
            <w:noProof/>
            <w:webHidden/>
          </w:rPr>
          <w:instrText xml:space="preserve"> PAGEREF _Toc458593662 \h </w:instrText>
        </w:r>
        <w:r w:rsidR="00B51B2E">
          <w:rPr>
            <w:noProof/>
            <w:webHidden/>
          </w:rPr>
        </w:r>
        <w:r w:rsidR="00B51B2E">
          <w:rPr>
            <w:noProof/>
            <w:webHidden/>
          </w:rPr>
          <w:fldChar w:fldCharType="separate"/>
        </w:r>
        <w:r w:rsidR="00DC4EEF">
          <w:rPr>
            <w:noProof/>
            <w:webHidden/>
          </w:rPr>
          <w:t>58</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63" w:history="1">
        <w:r w:rsidR="003C3184" w:rsidRPr="00C0727F">
          <w:rPr>
            <w:rStyle w:val="Lienhypertexte"/>
            <w:noProof/>
          </w:rPr>
          <w:t>5.1.1</w:t>
        </w:r>
        <w:r w:rsidR="003C3184">
          <w:rPr>
            <w:rFonts w:asciiTheme="minorHAnsi" w:hAnsiTheme="minorHAnsi"/>
            <w:noProof/>
            <w:lang w:val="en-US" w:eastAsia="en-US"/>
          </w:rPr>
          <w:tab/>
        </w:r>
        <w:r w:rsidR="003C3184" w:rsidRPr="00C0727F">
          <w:rPr>
            <w:rStyle w:val="Lienhypertexte"/>
            <w:noProof/>
          </w:rPr>
          <w:t>BUT</w:t>
        </w:r>
        <w:r w:rsidR="003C3184">
          <w:rPr>
            <w:noProof/>
            <w:webHidden/>
          </w:rPr>
          <w:tab/>
        </w:r>
        <w:r w:rsidR="00B51B2E">
          <w:rPr>
            <w:noProof/>
            <w:webHidden/>
          </w:rPr>
          <w:fldChar w:fldCharType="begin"/>
        </w:r>
        <w:r w:rsidR="003C3184">
          <w:rPr>
            <w:noProof/>
            <w:webHidden/>
          </w:rPr>
          <w:instrText xml:space="preserve"> PAGEREF _Toc458593663 \h </w:instrText>
        </w:r>
        <w:r w:rsidR="00B51B2E">
          <w:rPr>
            <w:noProof/>
            <w:webHidden/>
          </w:rPr>
        </w:r>
        <w:r w:rsidR="00B51B2E">
          <w:rPr>
            <w:noProof/>
            <w:webHidden/>
          </w:rPr>
          <w:fldChar w:fldCharType="separate"/>
        </w:r>
        <w:r w:rsidR="00DC4EEF">
          <w:rPr>
            <w:noProof/>
            <w:webHidden/>
          </w:rPr>
          <w:t>58</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64" w:history="1">
        <w:r w:rsidR="003C3184" w:rsidRPr="00C0727F">
          <w:rPr>
            <w:rStyle w:val="Lienhypertexte"/>
            <w:noProof/>
          </w:rPr>
          <w:t>5.1.2</w:t>
        </w:r>
        <w:r w:rsidR="003C3184">
          <w:rPr>
            <w:rFonts w:asciiTheme="minorHAnsi" w:hAnsiTheme="minorHAnsi"/>
            <w:noProof/>
            <w:lang w:val="en-US" w:eastAsia="en-US"/>
          </w:rPr>
          <w:tab/>
        </w:r>
        <w:r w:rsidR="003C3184" w:rsidRPr="00C0727F">
          <w:rPr>
            <w:rStyle w:val="Lienhypertexte"/>
            <w:noProof/>
          </w:rPr>
          <w:t>OBJECTIFS</w:t>
        </w:r>
        <w:r w:rsidR="003C3184">
          <w:rPr>
            <w:noProof/>
            <w:webHidden/>
          </w:rPr>
          <w:tab/>
        </w:r>
        <w:r w:rsidR="00B51B2E">
          <w:rPr>
            <w:noProof/>
            <w:webHidden/>
          </w:rPr>
          <w:fldChar w:fldCharType="begin"/>
        </w:r>
        <w:r w:rsidR="003C3184">
          <w:rPr>
            <w:noProof/>
            <w:webHidden/>
          </w:rPr>
          <w:instrText xml:space="preserve"> PAGEREF _Toc458593664 \h </w:instrText>
        </w:r>
        <w:r w:rsidR="00B51B2E">
          <w:rPr>
            <w:noProof/>
            <w:webHidden/>
          </w:rPr>
        </w:r>
        <w:r w:rsidR="00B51B2E">
          <w:rPr>
            <w:noProof/>
            <w:webHidden/>
          </w:rPr>
          <w:fldChar w:fldCharType="separate"/>
        </w:r>
        <w:r w:rsidR="00DC4EEF">
          <w:rPr>
            <w:noProof/>
            <w:webHidden/>
          </w:rPr>
          <w:t>58</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65" w:history="1">
        <w:r w:rsidR="003C3184" w:rsidRPr="00C0727F">
          <w:rPr>
            <w:rStyle w:val="Lienhypertexte"/>
            <w:noProof/>
          </w:rPr>
          <w:t>5.2</w:t>
        </w:r>
        <w:r w:rsidR="003C3184">
          <w:rPr>
            <w:rFonts w:asciiTheme="minorHAnsi" w:hAnsiTheme="minorHAnsi"/>
            <w:noProof/>
            <w:lang w:val="en-US" w:eastAsia="en-US"/>
          </w:rPr>
          <w:tab/>
        </w:r>
        <w:r w:rsidR="003C3184" w:rsidRPr="00C0727F">
          <w:rPr>
            <w:rStyle w:val="Lienhypertexte"/>
            <w:noProof/>
          </w:rPr>
          <w:t>PLAN DE MISE EN ŒUVRE DU PPAC 2016-2020</w:t>
        </w:r>
        <w:r w:rsidR="003C3184">
          <w:rPr>
            <w:noProof/>
            <w:webHidden/>
          </w:rPr>
          <w:tab/>
        </w:r>
        <w:r w:rsidR="00B51B2E">
          <w:rPr>
            <w:noProof/>
            <w:webHidden/>
          </w:rPr>
          <w:fldChar w:fldCharType="begin"/>
        </w:r>
        <w:r w:rsidR="003C3184">
          <w:rPr>
            <w:noProof/>
            <w:webHidden/>
          </w:rPr>
          <w:instrText xml:space="preserve"> PAGEREF _Toc458593665 \h </w:instrText>
        </w:r>
        <w:r w:rsidR="00B51B2E">
          <w:rPr>
            <w:noProof/>
            <w:webHidden/>
          </w:rPr>
        </w:r>
        <w:r w:rsidR="00B51B2E">
          <w:rPr>
            <w:noProof/>
            <w:webHidden/>
          </w:rPr>
          <w:fldChar w:fldCharType="separate"/>
        </w:r>
        <w:r w:rsidR="00DC4EEF">
          <w:rPr>
            <w:noProof/>
            <w:webHidden/>
          </w:rPr>
          <w:t>61</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66" w:history="1">
        <w:r w:rsidR="003C3184" w:rsidRPr="00C0727F">
          <w:rPr>
            <w:rStyle w:val="Lienhypertexte"/>
            <w:noProof/>
          </w:rPr>
          <w:t>5.3</w:t>
        </w:r>
        <w:r w:rsidR="003C3184">
          <w:rPr>
            <w:rFonts w:asciiTheme="minorHAnsi" w:hAnsiTheme="minorHAnsi"/>
            <w:noProof/>
            <w:lang w:val="en-US" w:eastAsia="en-US"/>
          </w:rPr>
          <w:tab/>
        </w:r>
        <w:r w:rsidR="003C3184" w:rsidRPr="00C0727F">
          <w:rPr>
            <w:rStyle w:val="Lienhypertexte"/>
            <w:noProof/>
          </w:rPr>
          <w:t>SUIVI EVALUATION DU PLAN</w:t>
        </w:r>
        <w:r w:rsidR="003C3184">
          <w:rPr>
            <w:noProof/>
            <w:webHidden/>
          </w:rPr>
          <w:tab/>
        </w:r>
        <w:r w:rsidR="00B51B2E">
          <w:rPr>
            <w:noProof/>
            <w:webHidden/>
          </w:rPr>
          <w:fldChar w:fldCharType="begin"/>
        </w:r>
        <w:r w:rsidR="003C3184">
          <w:rPr>
            <w:noProof/>
            <w:webHidden/>
          </w:rPr>
          <w:instrText xml:space="preserve"> PAGEREF _Toc458593666 \h </w:instrText>
        </w:r>
        <w:r w:rsidR="00B51B2E">
          <w:rPr>
            <w:noProof/>
            <w:webHidden/>
          </w:rPr>
        </w:r>
        <w:r w:rsidR="00B51B2E">
          <w:rPr>
            <w:noProof/>
            <w:webHidden/>
          </w:rPr>
          <w:fldChar w:fldCharType="separate"/>
        </w:r>
        <w:r w:rsidR="00DC4EEF">
          <w:rPr>
            <w:noProof/>
            <w:webHidden/>
          </w:rPr>
          <w:t>93</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67" w:history="1">
        <w:r w:rsidR="003C3184" w:rsidRPr="00C0727F">
          <w:rPr>
            <w:rStyle w:val="Lienhypertexte"/>
            <w:noProof/>
          </w:rPr>
          <w:t>5.3.1</w:t>
        </w:r>
        <w:r w:rsidR="003C3184">
          <w:rPr>
            <w:rFonts w:asciiTheme="minorHAnsi" w:hAnsiTheme="minorHAnsi"/>
            <w:noProof/>
            <w:lang w:val="en-US" w:eastAsia="en-US"/>
          </w:rPr>
          <w:tab/>
        </w:r>
        <w:r w:rsidR="003C3184" w:rsidRPr="00C0727F">
          <w:rPr>
            <w:rStyle w:val="Lienhypertexte"/>
            <w:noProof/>
          </w:rPr>
          <w:t>Cadre de Suivi et Evaluation du PPAC 2016-2020</w:t>
        </w:r>
        <w:r w:rsidR="003C3184">
          <w:rPr>
            <w:noProof/>
            <w:webHidden/>
          </w:rPr>
          <w:tab/>
        </w:r>
        <w:r w:rsidR="00B51B2E">
          <w:rPr>
            <w:noProof/>
            <w:webHidden/>
          </w:rPr>
          <w:fldChar w:fldCharType="begin"/>
        </w:r>
        <w:r w:rsidR="003C3184">
          <w:rPr>
            <w:noProof/>
            <w:webHidden/>
          </w:rPr>
          <w:instrText xml:space="preserve"> PAGEREF _Toc458593667 \h </w:instrText>
        </w:r>
        <w:r w:rsidR="00B51B2E">
          <w:rPr>
            <w:noProof/>
            <w:webHidden/>
          </w:rPr>
        </w:r>
        <w:r w:rsidR="00B51B2E">
          <w:rPr>
            <w:noProof/>
            <w:webHidden/>
          </w:rPr>
          <w:fldChar w:fldCharType="separate"/>
        </w:r>
        <w:r w:rsidR="00DC4EEF">
          <w:rPr>
            <w:noProof/>
            <w:webHidden/>
          </w:rPr>
          <w:t>93</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68" w:history="1">
        <w:r w:rsidR="003C3184" w:rsidRPr="00C0727F">
          <w:rPr>
            <w:rStyle w:val="Lienhypertexte"/>
            <w:noProof/>
          </w:rPr>
          <w:t>5.3.2</w:t>
        </w:r>
        <w:r w:rsidR="003C3184">
          <w:rPr>
            <w:rFonts w:asciiTheme="minorHAnsi" w:hAnsiTheme="minorHAnsi"/>
            <w:noProof/>
            <w:lang w:val="en-US" w:eastAsia="en-US"/>
          </w:rPr>
          <w:tab/>
        </w:r>
        <w:r w:rsidR="003C3184" w:rsidRPr="00C0727F">
          <w:rPr>
            <w:rStyle w:val="Lienhypertexte"/>
            <w:noProof/>
          </w:rPr>
          <w:t>Matrice des indicateurs</w:t>
        </w:r>
        <w:r w:rsidR="003C3184">
          <w:rPr>
            <w:noProof/>
            <w:webHidden/>
          </w:rPr>
          <w:tab/>
        </w:r>
        <w:r w:rsidR="00B51B2E">
          <w:rPr>
            <w:noProof/>
            <w:webHidden/>
          </w:rPr>
          <w:fldChar w:fldCharType="begin"/>
        </w:r>
        <w:r w:rsidR="003C3184">
          <w:rPr>
            <w:noProof/>
            <w:webHidden/>
          </w:rPr>
          <w:instrText xml:space="preserve"> PAGEREF _Toc458593668 \h </w:instrText>
        </w:r>
        <w:r w:rsidR="00B51B2E">
          <w:rPr>
            <w:noProof/>
            <w:webHidden/>
          </w:rPr>
        </w:r>
        <w:r w:rsidR="00B51B2E">
          <w:rPr>
            <w:noProof/>
            <w:webHidden/>
          </w:rPr>
          <w:fldChar w:fldCharType="separate"/>
        </w:r>
        <w:r w:rsidR="00DC4EEF">
          <w:rPr>
            <w:noProof/>
            <w:webHidden/>
          </w:rPr>
          <w:t>94</w:t>
        </w:r>
        <w:r w:rsidR="00B51B2E">
          <w:rPr>
            <w:noProof/>
            <w:webHidden/>
          </w:rPr>
          <w:fldChar w:fldCharType="end"/>
        </w:r>
      </w:hyperlink>
    </w:p>
    <w:p w:rsidR="003C3184" w:rsidRDefault="00813A59">
      <w:pPr>
        <w:pStyle w:val="TM2"/>
        <w:tabs>
          <w:tab w:val="left" w:pos="880"/>
          <w:tab w:val="right" w:leader="dot" w:pos="10070"/>
        </w:tabs>
        <w:rPr>
          <w:rFonts w:asciiTheme="minorHAnsi" w:hAnsiTheme="minorHAnsi"/>
          <w:noProof/>
          <w:lang w:val="en-US" w:eastAsia="en-US"/>
        </w:rPr>
      </w:pPr>
      <w:hyperlink w:anchor="_Toc458593669" w:history="1">
        <w:r w:rsidR="003C3184" w:rsidRPr="00C0727F">
          <w:rPr>
            <w:rStyle w:val="Lienhypertexte"/>
            <w:noProof/>
          </w:rPr>
          <w:t>5.4</w:t>
        </w:r>
        <w:r w:rsidR="003C3184">
          <w:rPr>
            <w:rFonts w:asciiTheme="minorHAnsi" w:hAnsiTheme="minorHAnsi"/>
            <w:noProof/>
            <w:lang w:val="en-US" w:eastAsia="en-US"/>
          </w:rPr>
          <w:tab/>
        </w:r>
        <w:r w:rsidR="003C3184" w:rsidRPr="00C0727F">
          <w:rPr>
            <w:rStyle w:val="Lienhypertexte"/>
            <w:noProof/>
          </w:rPr>
          <w:t>COUT ET FINANCEMENT  DU PPAC 2016-2020</w:t>
        </w:r>
        <w:r w:rsidR="003C3184">
          <w:rPr>
            <w:noProof/>
            <w:webHidden/>
          </w:rPr>
          <w:tab/>
        </w:r>
        <w:r w:rsidR="00B51B2E">
          <w:rPr>
            <w:noProof/>
            <w:webHidden/>
          </w:rPr>
          <w:fldChar w:fldCharType="begin"/>
        </w:r>
        <w:r w:rsidR="003C3184">
          <w:rPr>
            <w:noProof/>
            <w:webHidden/>
          </w:rPr>
          <w:instrText xml:space="preserve"> PAGEREF _Toc458593669 \h </w:instrText>
        </w:r>
        <w:r w:rsidR="00B51B2E">
          <w:rPr>
            <w:noProof/>
            <w:webHidden/>
          </w:rPr>
        </w:r>
        <w:r w:rsidR="00B51B2E">
          <w:rPr>
            <w:noProof/>
            <w:webHidden/>
          </w:rPr>
          <w:fldChar w:fldCharType="separate"/>
        </w:r>
        <w:r w:rsidR="00DC4EEF">
          <w:rPr>
            <w:noProof/>
            <w:webHidden/>
          </w:rPr>
          <w:t>104</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70" w:history="1">
        <w:r w:rsidR="003C3184" w:rsidRPr="00C0727F">
          <w:rPr>
            <w:rStyle w:val="Lienhypertexte"/>
            <w:noProof/>
          </w:rPr>
          <w:t>5.4.1</w:t>
        </w:r>
        <w:r w:rsidR="003C3184">
          <w:rPr>
            <w:rFonts w:asciiTheme="minorHAnsi" w:hAnsiTheme="minorHAnsi"/>
            <w:noProof/>
            <w:lang w:val="en-US" w:eastAsia="en-US"/>
          </w:rPr>
          <w:tab/>
        </w:r>
        <w:r w:rsidR="003C3184" w:rsidRPr="00C0727F">
          <w:rPr>
            <w:rStyle w:val="Lienhypertexte"/>
            <w:noProof/>
          </w:rPr>
          <w:t>ANALYSE DES COUTS ET FINACEMENTS</w:t>
        </w:r>
        <w:r w:rsidR="003C3184">
          <w:rPr>
            <w:noProof/>
            <w:webHidden/>
          </w:rPr>
          <w:tab/>
        </w:r>
        <w:r w:rsidR="00B51B2E">
          <w:rPr>
            <w:noProof/>
            <w:webHidden/>
          </w:rPr>
          <w:fldChar w:fldCharType="begin"/>
        </w:r>
        <w:r w:rsidR="003C3184">
          <w:rPr>
            <w:noProof/>
            <w:webHidden/>
          </w:rPr>
          <w:instrText xml:space="preserve"> PAGEREF _Toc458593670 \h </w:instrText>
        </w:r>
        <w:r w:rsidR="00B51B2E">
          <w:rPr>
            <w:noProof/>
            <w:webHidden/>
          </w:rPr>
        </w:r>
        <w:r w:rsidR="00B51B2E">
          <w:rPr>
            <w:noProof/>
            <w:webHidden/>
          </w:rPr>
          <w:fldChar w:fldCharType="separate"/>
        </w:r>
        <w:r w:rsidR="00DC4EEF">
          <w:rPr>
            <w:noProof/>
            <w:webHidden/>
          </w:rPr>
          <w:t>104</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71" w:history="1">
        <w:r w:rsidR="003C3184" w:rsidRPr="00C0727F">
          <w:rPr>
            <w:rStyle w:val="Lienhypertexte"/>
            <w:noProof/>
          </w:rPr>
          <w:t>5.4.2</w:t>
        </w:r>
        <w:r w:rsidR="003C3184">
          <w:rPr>
            <w:rFonts w:asciiTheme="minorHAnsi" w:hAnsiTheme="minorHAnsi"/>
            <w:noProof/>
            <w:lang w:val="en-US" w:eastAsia="en-US"/>
          </w:rPr>
          <w:tab/>
        </w:r>
        <w:r w:rsidR="003C3184" w:rsidRPr="00C0727F">
          <w:rPr>
            <w:rStyle w:val="Lienhypertexte"/>
            <w:noProof/>
          </w:rPr>
          <w:t>PROJECTION DES BESOINS EN RESSOURCES POUR LA PERIODE 2016-2020</w:t>
        </w:r>
        <w:r w:rsidR="003C3184">
          <w:rPr>
            <w:noProof/>
            <w:webHidden/>
          </w:rPr>
          <w:tab/>
        </w:r>
        <w:r w:rsidR="00B51B2E">
          <w:rPr>
            <w:noProof/>
            <w:webHidden/>
          </w:rPr>
          <w:fldChar w:fldCharType="begin"/>
        </w:r>
        <w:r w:rsidR="003C3184">
          <w:rPr>
            <w:noProof/>
            <w:webHidden/>
          </w:rPr>
          <w:instrText xml:space="preserve"> PAGEREF _Toc458593671 \h </w:instrText>
        </w:r>
        <w:r w:rsidR="00B51B2E">
          <w:rPr>
            <w:noProof/>
            <w:webHidden/>
          </w:rPr>
        </w:r>
        <w:r w:rsidR="00B51B2E">
          <w:rPr>
            <w:noProof/>
            <w:webHidden/>
          </w:rPr>
          <w:fldChar w:fldCharType="separate"/>
        </w:r>
        <w:r w:rsidR="00DC4EEF">
          <w:rPr>
            <w:noProof/>
            <w:webHidden/>
          </w:rPr>
          <w:t>105</w:t>
        </w:r>
        <w:r w:rsidR="00B51B2E">
          <w:rPr>
            <w:noProof/>
            <w:webHidden/>
          </w:rPr>
          <w:fldChar w:fldCharType="end"/>
        </w:r>
      </w:hyperlink>
    </w:p>
    <w:p w:rsidR="003C3184" w:rsidRDefault="00813A59">
      <w:pPr>
        <w:pStyle w:val="TM3"/>
        <w:tabs>
          <w:tab w:val="left" w:pos="1200"/>
          <w:tab w:val="right" w:leader="dot" w:pos="10070"/>
        </w:tabs>
        <w:rPr>
          <w:rFonts w:asciiTheme="minorHAnsi" w:hAnsiTheme="minorHAnsi"/>
          <w:noProof/>
          <w:lang w:val="en-US" w:eastAsia="en-US"/>
        </w:rPr>
      </w:pPr>
      <w:hyperlink w:anchor="_Toc458593672" w:history="1">
        <w:r w:rsidR="003C3184" w:rsidRPr="00C0727F">
          <w:rPr>
            <w:rStyle w:val="Lienhypertexte"/>
            <w:noProof/>
          </w:rPr>
          <w:t>5.4.3</w:t>
        </w:r>
        <w:r w:rsidR="003C3184">
          <w:rPr>
            <w:rFonts w:asciiTheme="minorHAnsi" w:hAnsiTheme="minorHAnsi"/>
            <w:noProof/>
            <w:lang w:val="en-US" w:eastAsia="en-US"/>
          </w:rPr>
          <w:tab/>
        </w:r>
        <w:r w:rsidR="003C3184" w:rsidRPr="00C0727F">
          <w:rPr>
            <w:rStyle w:val="Lienhypertexte"/>
            <w:noProof/>
          </w:rPr>
          <w:t>SOURCES DE FINANCEMENTS DES BESOINS DU PROGRAMME</w:t>
        </w:r>
        <w:r w:rsidR="003C3184">
          <w:rPr>
            <w:noProof/>
            <w:webHidden/>
          </w:rPr>
          <w:tab/>
        </w:r>
        <w:r w:rsidR="00B51B2E">
          <w:rPr>
            <w:noProof/>
            <w:webHidden/>
          </w:rPr>
          <w:fldChar w:fldCharType="begin"/>
        </w:r>
        <w:r w:rsidR="003C3184">
          <w:rPr>
            <w:noProof/>
            <w:webHidden/>
          </w:rPr>
          <w:instrText xml:space="preserve"> PAGEREF _Toc458593672 \h </w:instrText>
        </w:r>
        <w:r w:rsidR="00B51B2E">
          <w:rPr>
            <w:noProof/>
            <w:webHidden/>
          </w:rPr>
        </w:r>
        <w:r w:rsidR="00B51B2E">
          <w:rPr>
            <w:noProof/>
            <w:webHidden/>
          </w:rPr>
          <w:fldChar w:fldCharType="separate"/>
        </w:r>
        <w:r w:rsidR="00DC4EEF">
          <w:rPr>
            <w:noProof/>
            <w:webHidden/>
          </w:rPr>
          <w:t>106</w:t>
        </w:r>
        <w:r w:rsidR="00B51B2E">
          <w:rPr>
            <w:noProof/>
            <w:webHidden/>
          </w:rPr>
          <w:fldChar w:fldCharType="end"/>
        </w:r>
      </w:hyperlink>
    </w:p>
    <w:p w:rsidR="003C3184" w:rsidRDefault="00813A59">
      <w:pPr>
        <w:pStyle w:val="TM1"/>
        <w:tabs>
          <w:tab w:val="right" w:leader="dot" w:pos="10070"/>
        </w:tabs>
        <w:rPr>
          <w:rFonts w:asciiTheme="minorHAnsi" w:hAnsiTheme="minorHAnsi"/>
          <w:noProof/>
          <w:lang w:val="en-US" w:eastAsia="en-US"/>
        </w:rPr>
      </w:pPr>
      <w:hyperlink w:anchor="_Toc458593673" w:history="1">
        <w:r w:rsidR="003C3184" w:rsidRPr="00C0727F">
          <w:rPr>
            <w:rStyle w:val="Lienhypertexte"/>
            <w:noProof/>
          </w:rPr>
          <w:t>CONCLUSION</w:t>
        </w:r>
        <w:r w:rsidR="003C3184">
          <w:rPr>
            <w:noProof/>
            <w:webHidden/>
          </w:rPr>
          <w:tab/>
        </w:r>
        <w:r w:rsidR="00B51B2E">
          <w:rPr>
            <w:noProof/>
            <w:webHidden/>
          </w:rPr>
          <w:fldChar w:fldCharType="begin"/>
        </w:r>
        <w:r w:rsidR="003C3184">
          <w:rPr>
            <w:noProof/>
            <w:webHidden/>
          </w:rPr>
          <w:instrText xml:space="preserve"> PAGEREF _Toc458593673 \h </w:instrText>
        </w:r>
        <w:r w:rsidR="00B51B2E">
          <w:rPr>
            <w:noProof/>
            <w:webHidden/>
          </w:rPr>
        </w:r>
        <w:r w:rsidR="00B51B2E">
          <w:rPr>
            <w:noProof/>
            <w:webHidden/>
          </w:rPr>
          <w:fldChar w:fldCharType="separate"/>
        </w:r>
        <w:r w:rsidR="00DC4EEF">
          <w:rPr>
            <w:noProof/>
            <w:webHidden/>
          </w:rPr>
          <w:t>110</w:t>
        </w:r>
        <w:r w:rsidR="00B51B2E">
          <w:rPr>
            <w:noProof/>
            <w:webHidden/>
          </w:rPr>
          <w:fldChar w:fldCharType="end"/>
        </w:r>
      </w:hyperlink>
    </w:p>
    <w:p w:rsidR="003C3184" w:rsidRDefault="00813A59">
      <w:pPr>
        <w:pStyle w:val="TM1"/>
        <w:tabs>
          <w:tab w:val="right" w:leader="dot" w:pos="10070"/>
        </w:tabs>
        <w:rPr>
          <w:rFonts w:asciiTheme="minorHAnsi" w:hAnsiTheme="minorHAnsi"/>
          <w:noProof/>
          <w:lang w:val="en-US" w:eastAsia="en-US"/>
        </w:rPr>
      </w:pPr>
      <w:hyperlink w:anchor="_Toc458593674" w:history="1">
        <w:r w:rsidR="003C3184" w:rsidRPr="00C0727F">
          <w:rPr>
            <w:rStyle w:val="Lienhypertexte"/>
            <w:rFonts w:cs="Arial"/>
            <w:noProof/>
          </w:rPr>
          <w:t>ANNEXES</w:t>
        </w:r>
        <w:r w:rsidR="003C3184">
          <w:rPr>
            <w:noProof/>
            <w:webHidden/>
          </w:rPr>
          <w:tab/>
        </w:r>
        <w:r w:rsidR="00B51B2E">
          <w:rPr>
            <w:noProof/>
            <w:webHidden/>
          </w:rPr>
          <w:fldChar w:fldCharType="begin"/>
        </w:r>
        <w:r w:rsidR="003C3184">
          <w:rPr>
            <w:noProof/>
            <w:webHidden/>
          </w:rPr>
          <w:instrText xml:space="preserve"> PAGEREF _Toc458593674 \h </w:instrText>
        </w:r>
        <w:r w:rsidR="00B51B2E">
          <w:rPr>
            <w:noProof/>
            <w:webHidden/>
          </w:rPr>
        </w:r>
        <w:r w:rsidR="00B51B2E">
          <w:rPr>
            <w:noProof/>
            <w:webHidden/>
          </w:rPr>
          <w:fldChar w:fldCharType="separate"/>
        </w:r>
        <w:r w:rsidR="00DC4EEF">
          <w:rPr>
            <w:noProof/>
            <w:webHidden/>
          </w:rPr>
          <w:t>111</w:t>
        </w:r>
        <w:r w:rsidR="00B51B2E">
          <w:rPr>
            <w:noProof/>
            <w:webHidden/>
          </w:rPr>
          <w:fldChar w:fldCharType="end"/>
        </w:r>
      </w:hyperlink>
    </w:p>
    <w:p w:rsidR="00431B9D" w:rsidRPr="00621BF1" w:rsidRDefault="00B51B2E" w:rsidP="00431B9D">
      <w:pPr>
        <w:spacing w:after="160" w:line="259" w:lineRule="auto"/>
        <w:rPr>
          <w:rFonts w:eastAsiaTheme="majorEastAsia" w:cstheme="majorBidi"/>
          <w:b/>
          <w:szCs w:val="32"/>
        </w:rPr>
      </w:pPr>
      <w:r w:rsidRPr="00621BF1">
        <w:rPr>
          <w:rFonts w:eastAsiaTheme="minorEastAsia"/>
          <w:bCs/>
          <w:caps/>
          <w:lang w:eastAsia="fr-FR"/>
        </w:rPr>
        <w:fldChar w:fldCharType="end"/>
      </w:r>
      <w:r w:rsidR="00431B9D" w:rsidRPr="00621BF1">
        <w:rPr>
          <w:b/>
        </w:rPr>
        <w:br w:type="page"/>
      </w:r>
    </w:p>
    <w:p w:rsidR="00431B9D" w:rsidRPr="00621BF1" w:rsidRDefault="00431B9D" w:rsidP="003D4DF9">
      <w:pPr>
        <w:pStyle w:val="Titre1"/>
        <w:numPr>
          <w:ilvl w:val="0"/>
          <w:numId w:val="0"/>
        </w:numPr>
        <w:ind w:left="432" w:hanging="432"/>
      </w:pPr>
      <w:bookmarkStart w:id="5" w:name="_Toc452747483"/>
      <w:bookmarkStart w:id="6" w:name="_Toc458593619"/>
      <w:r w:rsidRPr="00621BF1">
        <w:lastRenderedPageBreak/>
        <w:t>LISTE DES ABREVIATIONS</w:t>
      </w:r>
      <w:bookmarkEnd w:id="5"/>
      <w:bookmarkEnd w:id="6"/>
    </w:p>
    <w:p w:rsidR="003D4DF9" w:rsidRPr="00621BF1" w:rsidRDefault="003D4DF9">
      <w:pPr>
        <w:spacing w:after="160" w:line="259" w:lineRule="auto"/>
        <w:rPr>
          <w:sz w:val="6"/>
        </w:rPr>
      </w:pPr>
      <w:bookmarkStart w:id="7" w:name="_Toc452747484"/>
    </w:p>
    <w:tbl>
      <w:tblPr>
        <w:tblW w:w="10055" w:type="dxa"/>
        <w:tblInd w:w="-5" w:type="dxa"/>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1601"/>
        <w:gridCol w:w="8454"/>
      </w:tblGrid>
      <w:tr w:rsidR="00842B5F" w:rsidRPr="00621BF1" w:rsidTr="003A10B9">
        <w:trPr>
          <w:trHeight w:val="315"/>
        </w:trPr>
        <w:tc>
          <w:tcPr>
            <w:tcW w:w="1601" w:type="dxa"/>
            <w:tcBorders>
              <w:top w:val="single" w:sz="12" w:space="0" w:color="B4C6E7" w:themeColor="accent5" w:themeTint="66"/>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ACD </w:t>
            </w:r>
          </w:p>
        </w:tc>
        <w:tc>
          <w:tcPr>
            <w:tcW w:w="8454" w:type="dxa"/>
            <w:tcBorders>
              <w:top w:val="single" w:sz="12" w:space="0" w:color="B4C6E7" w:themeColor="accent5" w:themeTint="66"/>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Atteindre chaque district</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ACD/ACC/ACE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Atteindre Chaque District /Communauté/Enfant</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AMP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Agence de la Médecine Préventive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ANR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Autorité</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Nationale</w:t>
            </w:r>
            <w:proofErr w:type="spellEnd"/>
            <w:r w:rsidRPr="00621BF1">
              <w:rPr>
                <w:rFonts w:eastAsia="Times New Roman" w:cs="Times New Roman"/>
                <w:color w:val="000000"/>
                <w:sz w:val="20"/>
                <w:szCs w:val="20"/>
                <w:lang w:val="en-US"/>
              </w:rPr>
              <w:t xml:space="preserve"> de </w:t>
            </w:r>
            <w:proofErr w:type="spellStart"/>
            <w:r w:rsidRPr="00621BF1">
              <w:rPr>
                <w:rFonts w:eastAsia="Times New Roman" w:cs="Times New Roman"/>
                <w:color w:val="000000"/>
                <w:sz w:val="20"/>
                <w:szCs w:val="20"/>
                <w:lang w:val="en-US"/>
              </w:rPr>
              <w:t>Régulation</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ASC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Agent de Santé </w:t>
            </w:r>
            <w:proofErr w:type="spellStart"/>
            <w:r w:rsidRPr="00621BF1">
              <w:rPr>
                <w:rFonts w:eastAsia="Times New Roman" w:cs="Times New Roman"/>
                <w:color w:val="000000"/>
                <w:sz w:val="20"/>
                <w:szCs w:val="20"/>
                <w:lang w:val="en-US"/>
              </w:rPr>
              <w:t>Communautaire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AVI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Activités</w:t>
            </w:r>
            <w:proofErr w:type="spellEnd"/>
            <w:r w:rsidRPr="00621BF1">
              <w:rPr>
                <w:rFonts w:eastAsia="Times New Roman" w:cs="Times New Roman"/>
                <w:color w:val="000000"/>
                <w:sz w:val="20"/>
                <w:szCs w:val="20"/>
                <w:lang w:val="en-US"/>
              </w:rPr>
              <w:t xml:space="preserve"> de Vaccinations </w:t>
            </w:r>
            <w:proofErr w:type="spellStart"/>
            <w:r w:rsidRPr="00621BF1">
              <w:rPr>
                <w:rFonts w:eastAsia="Times New Roman" w:cs="Times New Roman"/>
                <w:color w:val="000000"/>
                <w:sz w:val="20"/>
                <w:szCs w:val="20"/>
                <w:lang w:val="en-US"/>
              </w:rPr>
              <w:t>Intensifiées</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AVS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Activités</w:t>
            </w:r>
            <w:proofErr w:type="spellEnd"/>
            <w:r w:rsidRPr="00621BF1">
              <w:rPr>
                <w:rFonts w:eastAsia="Times New Roman" w:cs="Times New Roman"/>
                <w:color w:val="000000"/>
                <w:sz w:val="20"/>
                <w:szCs w:val="20"/>
                <w:lang w:val="en-US"/>
              </w:rPr>
              <w:t xml:space="preserve"> de Vaccination </w:t>
            </w:r>
            <w:proofErr w:type="spellStart"/>
            <w:r w:rsidRPr="00621BF1">
              <w:rPr>
                <w:rFonts w:eastAsia="Times New Roman" w:cs="Times New Roman"/>
                <w:color w:val="000000"/>
                <w:sz w:val="20"/>
                <w:szCs w:val="20"/>
                <w:lang w:val="en-US"/>
              </w:rPr>
              <w:t>Supplémentaires</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BCG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Bacille de Calmette et Guérin</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BID</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Banque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Islamique</w:t>
            </w:r>
            <w:proofErr w:type="spellEnd"/>
            <w:r w:rsidRPr="00621BF1">
              <w:rPr>
                <w:rFonts w:eastAsia="Times New Roman" w:cs="Times New Roman"/>
                <w:color w:val="000000"/>
                <w:sz w:val="20"/>
                <w:szCs w:val="20"/>
                <w:lang w:val="en-US"/>
              </w:rPr>
              <w:t xml:space="preserve"> de </w:t>
            </w:r>
            <w:proofErr w:type="spellStart"/>
            <w:r w:rsidRPr="00621BF1">
              <w:rPr>
                <w:rFonts w:eastAsia="Times New Roman" w:cs="Times New Roman"/>
                <w:color w:val="000000"/>
                <w:sz w:val="20"/>
                <w:szCs w:val="20"/>
                <w:lang w:val="en-US"/>
              </w:rPr>
              <w:t>Développement</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 xml:space="preserve">BM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Banque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Mondiale</w:t>
            </w:r>
            <w:proofErr w:type="spellEnd"/>
          </w:p>
        </w:tc>
      </w:tr>
      <w:tr w:rsidR="00842B5F" w:rsidRPr="007B610D"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BMGF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Bill and Melinda Gates Foundation</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BND</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Banque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Nationale</w:t>
            </w:r>
            <w:proofErr w:type="spellEnd"/>
            <w:r w:rsidRPr="00621BF1">
              <w:rPr>
                <w:rFonts w:eastAsia="Times New Roman" w:cs="Times New Roman"/>
                <w:color w:val="000000"/>
                <w:sz w:val="20"/>
                <w:szCs w:val="20"/>
                <w:lang w:val="en-US"/>
              </w:rPr>
              <w:t xml:space="preserve"> de </w:t>
            </w:r>
            <w:proofErr w:type="spellStart"/>
            <w:r w:rsidRPr="00621BF1">
              <w:rPr>
                <w:rFonts w:eastAsia="Times New Roman" w:cs="Times New Roman"/>
                <w:color w:val="000000"/>
                <w:sz w:val="20"/>
                <w:szCs w:val="20"/>
                <w:lang w:val="en-US"/>
              </w:rPr>
              <w:t>Développement</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CAP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Connaissances</w:t>
            </w:r>
            <w:proofErr w:type="spellEnd"/>
            <w:r w:rsidRPr="00621BF1">
              <w:rPr>
                <w:rFonts w:eastAsia="Times New Roman" w:cs="Times New Roman"/>
                <w:color w:val="000000"/>
                <w:sz w:val="20"/>
                <w:szCs w:val="20"/>
                <w:lang w:val="en-US"/>
              </w:rPr>
              <w:t xml:space="preserve"> Attitudes et </w:t>
            </w:r>
            <w:proofErr w:type="spellStart"/>
            <w:r w:rsidRPr="00621BF1">
              <w:rPr>
                <w:rFonts w:eastAsia="Times New Roman" w:cs="Times New Roman"/>
                <w:color w:val="000000"/>
                <w:sz w:val="20"/>
                <w:szCs w:val="20"/>
                <w:lang w:val="en-US"/>
              </w:rPr>
              <w:t>Pratiques</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CCIA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Comité de Coordination Inter-Agence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CCS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Chef de Centre de Santé</w:t>
            </w:r>
          </w:p>
        </w:tc>
      </w:tr>
      <w:tr w:rsidR="00842B5F" w:rsidRPr="007B610D"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CDC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Center for Disease Control and Prevention</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CDF</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Chaîne</w:t>
            </w:r>
            <w:proofErr w:type="spellEnd"/>
            <w:r w:rsidRPr="00621BF1">
              <w:rPr>
                <w:rFonts w:eastAsia="Times New Roman" w:cs="Times New Roman"/>
                <w:color w:val="000000"/>
                <w:sz w:val="20"/>
                <w:szCs w:val="20"/>
                <w:lang w:val="en-US"/>
              </w:rPr>
              <w:t xml:space="preserve"> du </w:t>
            </w:r>
            <w:proofErr w:type="spellStart"/>
            <w:r w:rsidRPr="00621BF1">
              <w:rPr>
                <w:rFonts w:eastAsia="Times New Roman" w:cs="Times New Roman"/>
                <w:color w:val="000000"/>
                <w:sz w:val="20"/>
                <w:szCs w:val="20"/>
                <w:lang w:val="en-US"/>
              </w:rPr>
              <w:t>Froid</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CDMT</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Cadre de Dépenses à Moyen Terme</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CDMT</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Cadre des Dépenses à Moyen Terme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CNC</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Comité</w:t>
            </w:r>
            <w:proofErr w:type="spellEnd"/>
            <w:r w:rsidRPr="00621BF1">
              <w:rPr>
                <w:rFonts w:eastAsia="Times New Roman" w:cs="Times New Roman"/>
                <w:color w:val="000000"/>
                <w:sz w:val="20"/>
                <w:szCs w:val="20"/>
                <w:lang w:val="en-US"/>
              </w:rPr>
              <w:t xml:space="preserve"> National de Coordination</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CNC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Comité National de Certification</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CNDD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 xml:space="preserve">Conseil national pour la démocratie et le développement  </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CNEP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Comité National d’Eradication de la Poliomyélite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CN-PEV</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Coordination Nationale du Programme Elargi de Vaccination</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CNS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Comptes Nationaux de la Santé</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COGES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Comité</w:t>
            </w:r>
            <w:proofErr w:type="spellEnd"/>
            <w:r w:rsidRPr="00621BF1">
              <w:rPr>
                <w:rFonts w:eastAsia="Times New Roman" w:cs="Times New Roman"/>
                <w:color w:val="000000"/>
                <w:sz w:val="20"/>
                <w:szCs w:val="20"/>
                <w:lang w:val="en-US"/>
              </w:rPr>
              <w:t xml:space="preserve"> de </w:t>
            </w:r>
            <w:proofErr w:type="spellStart"/>
            <w:r w:rsidRPr="00621BF1">
              <w:rPr>
                <w:rFonts w:eastAsia="Times New Roman" w:cs="Times New Roman"/>
                <w:color w:val="000000"/>
                <w:sz w:val="20"/>
                <w:szCs w:val="20"/>
                <w:lang w:val="en-US"/>
              </w:rPr>
              <w:t>Gestion</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COSAH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Comité de Santé et Hygiène</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CPN</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Consultation Prénatale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Centre de Santé</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CTPS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Coordination Technique Préfectorale de la Santé</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CTRS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Coordination Régionale de la Santé</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CV</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Couverture Vaccinale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DCS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Directeur Communal de la santé</w:t>
            </w:r>
          </w:p>
        </w:tc>
      </w:tr>
      <w:tr w:rsidR="00842B5F" w:rsidRPr="00621BF1" w:rsidTr="003A10B9">
        <w:trPr>
          <w:trHeight w:val="345"/>
        </w:trPr>
        <w:tc>
          <w:tcPr>
            <w:tcW w:w="1601" w:type="dxa"/>
            <w:tcBorders>
              <w:left w:val="single" w:sz="12" w:space="0" w:color="B4C6E7" w:themeColor="accent5" w:themeTint="66"/>
              <w:bottom w:val="nil"/>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DNV </w:t>
            </w:r>
          </w:p>
        </w:tc>
        <w:tc>
          <w:tcPr>
            <w:tcW w:w="8454" w:type="dxa"/>
            <w:tcBorders>
              <w:left w:val="single" w:sz="12" w:space="0" w:color="B4C6E7" w:themeColor="accent5" w:themeTint="66"/>
              <w:bottom w:val="nil"/>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Direction Nationale de la Vaccination</w:t>
            </w:r>
          </w:p>
        </w:tc>
      </w:tr>
      <w:tr w:rsidR="00842B5F" w:rsidRPr="00621BF1" w:rsidTr="003A10B9">
        <w:trPr>
          <w:trHeight w:val="345"/>
        </w:trPr>
        <w:tc>
          <w:tcPr>
            <w:tcW w:w="1601" w:type="dxa"/>
            <w:tcBorders>
              <w:top w:val="nil"/>
              <w:left w:val="single" w:sz="12" w:space="0" w:color="B4C6E7" w:themeColor="accent5" w:themeTint="66"/>
              <w:bottom w:val="single" w:sz="12" w:space="0" w:color="8EAADB" w:themeColor="accent5" w:themeTint="99"/>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DPS </w:t>
            </w:r>
          </w:p>
        </w:tc>
        <w:tc>
          <w:tcPr>
            <w:tcW w:w="8454" w:type="dxa"/>
            <w:tcBorders>
              <w:top w:val="nil"/>
              <w:left w:val="single" w:sz="12" w:space="0" w:color="B4C6E7" w:themeColor="accent5" w:themeTint="66"/>
              <w:bottom w:val="single" w:sz="12" w:space="0" w:color="8EAADB" w:themeColor="accent5" w:themeTint="99"/>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Direction Préfectorale de la Santé</w:t>
            </w:r>
          </w:p>
        </w:tc>
      </w:tr>
      <w:tr w:rsidR="00842B5F" w:rsidRPr="00621BF1" w:rsidTr="003A10B9">
        <w:trPr>
          <w:trHeight w:val="345"/>
        </w:trPr>
        <w:tc>
          <w:tcPr>
            <w:tcW w:w="1601" w:type="dxa"/>
            <w:tcBorders>
              <w:top w:val="single" w:sz="12" w:space="0" w:color="8EAADB" w:themeColor="accent5" w:themeTint="99"/>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lastRenderedPageBreak/>
              <w:t>DQS </w:t>
            </w:r>
          </w:p>
        </w:tc>
        <w:tc>
          <w:tcPr>
            <w:tcW w:w="8454" w:type="dxa"/>
            <w:tcBorders>
              <w:top w:val="single" w:sz="12" w:space="0" w:color="8EAADB" w:themeColor="accent5" w:themeTint="99"/>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 xml:space="preserve">Auto Evaluation de la Qualité des Données  </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DRS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Direction Régionale de la Santé</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DS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District Sanitaire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DSRP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Document Stratégique de Réduction de la Pauvreté</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rPr>
              <w:t>DSVCo</w:t>
            </w:r>
            <w:proofErr w:type="spellEnd"/>
            <w:r w:rsidRPr="00621BF1">
              <w:rPr>
                <w:rFonts w:eastAsia="Times New Roman" w:cs="Times New Roman"/>
                <w:color w:val="000000"/>
                <w:sz w:val="20"/>
                <w:szCs w:val="20"/>
              </w:rPr>
              <w:t>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Direction de la Santé de la Ville de Conakry</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DTC</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Diphtérie Tétanos Coqueluche</w:t>
            </w:r>
          </w:p>
        </w:tc>
      </w:tr>
      <w:tr w:rsidR="00842B5F" w:rsidRPr="00621BF1" w:rsidTr="003A10B9">
        <w:trPr>
          <w:trHeight w:val="60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DTC/</w:t>
            </w:r>
            <w:proofErr w:type="spellStart"/>
            <w:r w:rsidRPr="00621BF1">
              <w:rPr>
                <w:rFonts w:eastAsia="Times New Roman" w:cs="Times New Roman"/>
                <w:color w:val="000000"/>
                <w:sz w:val="20"/>
                <w:szCs w:val="20"/>
              </w:rPr>
              <w:t>HepB</w:t>
            </w:r>
            <w:proofErr w:type="spellEnd"/>
            <w:r w:rsidRPr="00621BF1">
              <w:rPr>
                <w:rFonts w:eastAsia="Times New Roman" w:cs="Times New Roman"/>
                <w:color w:val="000000"/>
                <w:sz w:val="20"/>
                <w:szCs w:val="20"/>
              </w:rPr>
              <w:t>/</w:t>
            </w:r>
            <w:proofErr w:type="spellStart"/>
            <w:r w:rsidRPr="00621BF1">
              <w:rPr>
                <w:rFonts w:eastAsia="Times New Roman" w:cs="Times New Roman"/>
                <w:color w:val="000000"/>
                <w:sz w:val="20"/>
                <w:szCs w:val="20"/>
              </w:rPr>
              <w:t>Hib</w:t>
            </w:r>
            <w:proofErr w:type="spellEnd"/>
            <w:r w:rsidRPr="00621BF1">
              <w:rPr>
                <w:rFonts w:eastAsia="Times New Roman" w:cs="Times New Roman"/>
                <w:color w:val="000000"/>
                <w:sz w:val="20"/>
                <w:szCs w:val="20"/>
              </w:rPr>
              <w:t>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Diphtérie Tétanos Coqueluche/Hépatite B/</w:t>
            </w:r>
            <w:proofErr w:type="spellStart"/>
            <w:r w:rsidRPr="00621BF1">
              <w:rPr>
                <w:rFonts w:eastAsia="Times New Roman" w:cs="Times New Roman"/>
                <w:color w:val="000000"/>
                <w:sz w:val="20"/>
                <w:szCs w:val="20"/>
              </w:rPr>
              <w:t>Haemophilus</w:t>
            </w:r>
            <w:proofErr w:type="spellEnd"/>
            <w:r w:rsidRPr="00621BF1">
              <w:rPr>
                <w:rFonts w:eastAsia="Times New Roman" w:cs="Times New Roman"/>
                <w:color w:val="000000"/>
                <w:sz w:val="20"/>
                <w:szCs w:val="20"/>
              </w:rPr>
              <w:t xml:space="preserve"> </w:t>
            </w:r>
            <w:proofErr w:type="spellStart"/>
            <w:r w:rsidRPr="00621BF1">
              <w:rPr>
                <w:rFonts w:eastAsia="Times New Roman" w:cs="Times New Roman"/>
                <w:color w:val="000000"/>
                <w:sz w:val="20"/>
                <w:szCs w:val="20"/>
              </w:rPr>
              <w:t>influenzae</w:t>
            </w:r>
            <w:proofErr w:type="spellEnd"/>
            <w:r w:rsidRPr="00621BF1">
              <w:rPr>
                <w:rFonts w:eastAsia="Times New Roman" w:cs="Times New Roman"/>
                <w:color w:val="000000"/>
                <w:sz w:val="20"/>
                <w:szCs w:val="20"/>
              </w:rPr>
              <w:t xml:space="preserve"> </w:t>
            </w:r>
          </w:p>
        </w:tc>
      </w:tr>
      <w:tr w:rsidR="00842B5F" w:rsidRPr="007B610D"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DVD-MT</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District Vaccines Data Management Tool</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ECD</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Equipe</w:t>
            </w:r>
            <w:proofErr w:type="spellEnd"/>
            <w:r w:rsidRPr="00621BF1">
              <w:rPr>
                <w:rFonts w:eastAsia="Times New Roman" w:cs="Times New Roman"/>
                <w:color w:val="000000"/>
                <w:sz w:val="20"/>
                <w:szCs w:val="20"/>
                <w:lang w:val="en-US"/>
              </w:rPr>
              <w:t xml:space="preserve"> Cadre de District</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ECHO</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European Commission Humanitarian Office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ECR</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Equipe</w:t>
            </w:r>
            <w:proofErr w:type="spellEnd"/>
            <w:r w:rsidRPr="00621BF1">
              <w:rPr>
                <w:rFonts w:eastAsia="Times New Roman" w:cs="Times New Roman"/>
                <w:color w:val="000000"/>
                <w:sz w:val="20"/>
                <w:szCs w:val="20"/>
                <w:lang w:val="en-US"/>
              </w:rPr>
              <w:t xml:space="preserve"> Cadre de </w:t>
            </w:r>
            <w:proofErr w:type="spellStart"/>
            <w:r w:rsidRPr="00621BF1">
              <w:rPr>
                <w:rFonts w:eastAsia="Times New Roman" w:cs="Times New Roman"/>
                <w:color w:val="000000"/>
                <w:sz w:val="20"/>
                <w:szCs w:val="20"/>
                <w:lang w:val="en-US"/>
              </w:rPr>
              <w:t>Région</w:t>
            </w:r>
            <w:proofErr w:type="spellEnd"/>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EDG</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Electricité  de Guinée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EDS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Enquête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Démographique</w:t>
            </w:r>
            <w:proofErr w:type="spellEnd"/>
            <w:r w:rsidRPr="00621BF1">
              <w:rPr>
                <w:rFonts w:eastAsia="Times New Roman" w:cs="Times New Roman"/>
                <w:color w:val="000000"/>
                <w:sz w:val="20"/>
                <w:szCs w:val="20"/>
                <w:lang w:val="en-US"/>
              </w:rPr>
              <w:t xml:space="preserve"> de Santé</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EDS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Enquête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Démographique</w:t>
            </w:r>
            <w:proofErr w:type="spellEnd"/>
            <w:r w:rsidRPr="00621BF1">
              <w:rPr>
                <w:rFonts w:eastAsia="Times New Roman" w:cs="Times New Roman"/>
                <w:color w:val="000000"/>
                <w:sz w:val="20"/>
                <w:szCs w:val="20"/>
                <w:lang w:val="en-US"/>
              </w:rPr>
              <w:t xml:space="preserve"> de Santé</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ELEP</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Évaluation</w:t>
            </w:r>
            <w:proofErr w:type="spellEnd"/>
            <w:r w:rsidRPr="00621BF1">
              <w:rPr>
                <w:rFonts w:eastAsia="Times New Roman" w:cs="Times New Roman"/>
                <w:color w:val="000000"/>
                <w:sz w:val="20"/>
                <w:szCs w:val="20"/>
                <w:lang w:val="en-US"/>
              </w:rPr>
              <w:t xml:space="preserve"> de la </w:t>
            </w:r>
            <w:proofErr w:type="spellStart"/>
            <w:r w:rsidRPr="00621BF1">
              <w:rPr>
                <w:rFonts w:eastAsia="Times New Roman" w:cs="Times New Roman"/>
                <w:color w:val="000000"/>
                <w:sz w:val="20"/>
                <w:szCs w:val="20"/>
                <w:lang w:val="en-US"/>
              </w:rPr>
              <w:t>Pauvreté</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EMVE</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Epidémie de la Maladie à Virus Ebola</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ENAM</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Ecole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Normale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d’Administration</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EPIVAC</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Épidémiologie</w:t>
            </w:r>
            <w:proofErr w:type="spellEnd"/>
            <w:r w:rsidRPr="00621BF1">
              <w:rPr>
                <w:rFonts w:eastAsia="Times New Roman" w:cs="Times New Roman"/>
                <w:color w:val="000000"/>
                <w:sz w:val="20"/>
                <w:szCs w:val="20"/>
                <w:lang w:val="en-US"/>
              </w:rPr>
              <w:t xml:space="preserve"> &amp; </w:t>
            </w:r>
            <w:proofErr w:type="spellStart"/>
            <w:r w:rsidRPr="00621BF1">
              <w:rPr>
                <w:rFonts w:eastAsia="Times New Roman" w:cs="Times New Roman"/>
                <w:color w:val="000000"/>
                <w:sz w:val="20"/>
                <w:szCs w:val="20"/>
                <w:lang w:val="en-US"/>
              </w:rPr>
              <w:t>Vaccinologie</w:t>
            </w:r>
            <w:proofErr w:type="spellEnd"/>
            <w:r w:rsidRPr="00621BF1">
              <w:rPr>
                <w:rFonts w:eastAsia="Times New Roman" w:cs="Times New Roman"/>
                <w:color w:val="000000"/>
                <w:sz w:val="20"/>
                <w:szCs w:val="20"/>
                <w:lang w:val="en-US"/>
              </w:rPr>
              <w:t>;</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FBR</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Financement Basé sur le Performance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FICR</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Fédération Internationale de la Croix Rouge</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GAVI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Alliance mondiale pour les vaccins et la vaccination</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GEV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Gestion</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Efficace</w:t>
            </w:r>
            <w:proofErr w:type="spellEnd"/>
            <w:r w:rsidRPr="00621BF1">
              <w:rPr>
                <w:rFonts w:eastAsia="Times New Roman" w:cs="Times New Roman"/>
                <w:color w:val="000000"/>
                <w:sz w:val="20"/>
                <w:szCs w:val="20"/>
                <w:lang w:val="en-US"/>
              </w:rPr>
              <w:t xml:space="preserve"> des </w:t>
            </w:r>
            <w:proofErr w:type="spellStart"/>
            <w:r w:rsidRPr="00621BF1">
              <w:rPr>
                <w:rFonts w:eastAsia="Times New Roman" w:cs="Times New Roman"/>
                <w:color w:val="000000"/>
                <w:sz w:val="20"/>
                <w:szCs w:val="20"/>
                <w:lang w:val="en-US"/>
              </w:rPr>
              <w:t>Vaccins</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GFFO</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German Federal Foreign Office</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GIVS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Vision et stratégie mondiale pour la vaccination</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GNF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Guinean National Francs </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GSC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Groupe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Spécial</w:t>
            </w:r>
            <w:proofErr w:type="spellEnd"/>
            <w:r w:rsidRPr="00621BF1">
              <w:rPr>
                <w:rFonts w:eastAsia="Times New Roman" w:cs="Times New Roman"/>
                <w:color w:val="000000"/>
                <w:sz w:val="20"/>
                <w:szCs w:val="20"/>
                <w:lang w:val="en-US"/>
              </w:rPr>
              <w:t xml:space="preserve"> de Confinement</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GTCV</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Groupe Technique Consultatif pour la Vaccination</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HD/CMC</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 Hôpital  de District/ Centre Médical Communal</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rPr>
              <w:t>Hép</w:t>
            </w:r>
            <w:proofErr w:type="spellEnd"/>
            <w:r w:rsidRPr="00621BF1">
              <w:rPr>
                <w:rFonts w:eastAsia="Times New Roman" w:cs="Times New Roman"/>
                <w:color w:val="000000"/>
                <w:sz w:val="20"/>
                <w:szCs w:val="20"/>
              </w:rPr>
              <w:t xml:space="preserve"> B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Vaccin</w:t>
            </w:r>
            <w:proofErr w:type="spellEnd"/>
            <w:r w:rsidRPr="00621BF1">
              <w:rPr>
                <w:rFonts w:eastAsia="Times New Roman" w:cs="Times New Roman"/>
                <w:color w:val="000000"/>
                <w:sz w:val="20"/>
                <w:szCs w:val="20"/>
                <w:lang w:val="en-US"/>
              </w:rPr>
              <w:t xml:space="preserve"> anti </w:t>
            </w:r>
            <w:proofErr w:type="spellStart"/>
            <w:r w:rsidRPr="00621BF1">
              <w:rPr>
                <w:rFonts w:eastAsia="Times New Roman" w:cs="Times New Roman"/>
                <w:color w:val="000000"/>
                <w:sz w:val="20"/>
                <w:szCs w:val="20"/>
                <w:lang w:val="en-US"/>
              </w:rPr>
              <w:t>hépatite</w:t>
            </w:r>
            <w:proofErr w:type="spellEnd"/>
            <w:r w:rsidRPr="00621BF1">
              <w:rPr>
                <w:rFonts w:eastAsia="Times New Roman" w:cs="Times New Roman"/>
                <w:color w:val="000000"/>
                <w:sz w:val="20"/>
                <w:szCs w:val="20"/>
                <w:lang w:val="en-US"/>
              </w:rPr>
              <w:t xml:space="preserve"> B</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rPr>
              <w:t>Hib</w:t>
            </w:r>
            <w:proofErr w:type="spellEnd"/>
            <w:r w:rsidRPr="00621BF1">
              <w:rPr>
                <w:rFonts w:eastAsia="Times New Roman" w:cs="Times New Roman"/>
                <w:color w:val="000000"/>
                <w:sz w:val="20"/>
                <w:szCs w:val="20"/>
              </w:rPr>
              <w:t xml:space="preserve">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Haemophillus</w:t>
            </w:r>
            <w:proofErr w:type="spellEnd"/>
            <w:r w:rsidRPr="00621BF1">
              <w:rPr>
                <w:rFonts w:eastAsia="Times New Roman" w:cs="Times New Roman"/>
                <w:color w:val="000000"/>
                <w:sz w:val="20"/>
                <w:szCs w:val="20"/>
                <w:lang w:val="en-US"/>
              </w:rPr>
              <w:t xml:space="preserve"> Influenza type b</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 xml:space="preserve">HKI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Helen Keller International</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HN</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Hôpital National</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HP</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Hôpital Préfectoral</w:t>
            </w:r>
          </w:p>
        </w:tc>
      </w:tr>
      <w:tr w:rsidR="00842B5F" w:rsidRPr="00621BF1" w:rsidTr="003A10B9">
        <w:trPr>
          <w:trHeight w:val="345"/>
        </w:trPr>
        <w:tc>
          <w:tcPr>
            <w:tcW w:w="1601" w:type="dxa"/>
            <w:tcBorders>
              <w:left w:val="single" w:sz="12" w:space="0" w:color="B4C6E7" w:themeColor="accent5" w:themeTint="66"/>
              <w:bottom w:val="nil"/>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HPV</w:t>
            </w:r>
          </w:p>
        </w:tc>
        <w:tc>
          <w:tcPr>
            <w:tcW w:w="8454" w:type="dxa"/>
            <w:tcBorders>
              <w:left w:val="single" w:sz="12" w:space="0" w:color="B4C6E7" w:themeColor="accent5" w:themeTint="66"/>
              <w:bottom w:val="nil"/>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Human Papilloma Virus</w:t>
            </w:r>
          </w:p>
        </w:tc>
      </w:tr>
      <w:tr w:rsidR="00842B5F" w:rsidRPr="00621BF1" w:rsidTr="003A10B9">
        <w:trPr>
          <w:trHeight w:val="390"/>
        </w:trPr>
        <w:tc>
          <w:tcPr>
            <w:tcW w:w="1601" w:type="dxa"/>
            <w:tcBorders>
              <w:top w:val="nil"/>
              <w:left w:val="single" w:sz="12" w:space="0" w:color="B4C6E7" w:themeColor="accent5" w:themeTint="66"/>
              <w:bottom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HR</w:t>
            </w:r>
          </w:p>
        </w:tc>
        <w:tc>
          <w:tcPr>
            <w:tcW w:w="8454" w:type="dxa"/>
            <w:tcBorders>
              <w:top w:val="nil"/>
              <w:left w:val="single" w:sz="12" w:space="0" w:color="B4C6E7" w:themeColor="accent5" w:themeTint="66"/>
              <w:bottom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Hôpital Régional</w:t>
            </w:r>
          </w:p>
        </w:tc>
      </w:tr>
      <w:tr w:rsidR="00842B5F" w:rsidRPr="00621BF1" w:rsidTr="003A10B9">
        <w:trPr>
          <w:trHeight w:val="390"/>
        </w:trPr>
        <w:tc>
          <w:tcPr>
            <w:tcW w:w="1601" w:type="dxa"/>
            <w:tcBorders>
              <w:top w:val="single" w:sz="12" w:space="0" w:color="B4C6E7" w:themeColor="accent5" w:themeTint="66"/>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lastRenderedPageBreak/>
              <w:t>IB</w:t>
            </w:r>
          </w:p>
        </w:tc>
        <w:tc>
          <w:tcPr>
            <w:tcW w:w="8454" w:type="dxa"/>
            <w:tcBorders>
              <w:top w:val="single" w:sz="12" w:space="0" w:color="B4C6E7" w:themeColor="accent5" w:themeTint="66"/>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Initiative de Bamako</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IDH</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Indice</w:t>
            </w:r>
            <w:proofErr w:type="spellEnd"/>
            <w:r w:rsidRPr="00621BF1">
              <w:rPr>
                <w:rFonts w:eastAsia="Times New Roman" w:cs="Times New Roman"/>
                <w:color w:val="000000"/>
                <w:sz w:val="20"/>
                <w:szCs w:val="20"/>
                <w:lang w:val="en-US"/>
              </w:rPr>
              <w:t xml:space="preserve"> de </w:t>
            </w:r>
            <w:proofErr w:type="spellStart"/>
            <w:r w:rsidRPr="00621BF1">
              <w:rPr>
                <w:rFonts w:eastAsia="Times New Roman" w:cs="Times New Roman"/>
                <w:color w:val="000000"/>
                <w:sz w:val="20"/>
                <w:szCs w:val="20"/>
                <w:lang w:val="en-US"/>
              </w:rPr>
              <w:t>Développement</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Humain</w:t>
            </w:r>
            <w:proofErr w:type="spellEnd"/>
            <w:r w:rsidRPr="00621BF1">
              <w:rPr>
                <w:rFonts w:eastAsia="Times New Roman" w:cs="Times New Roman"/>
                <w:color w:val="000000"/>
                <w:sz w:val="20"/>
                <w:szCs w:val="20"/>
                <w:lang w:val="en-US"/>
              </w:rPr>
              <w:t xml:space="preserve"> </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 xml:space="preserve">IEC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Information Education Communication</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IIV</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Initiative pour l’Indépendance Vaccinale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IST</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 Infection </w:t>
            </w:r>
            <w:proofErr w:type="spellStart"/>
            <w:r w:rsidRPr="00621BF1">
              <w:rPr>
                <w:rFonts w:eastAsia="Times New Roman" w:cs="Times New Roman"/>
                <w:color w:val="000000"/>
                <w:sz w:val="20"/>
                <w:szCs w:val="20"/>
                <w:lang w:val="en-US"/>
              </w:rPr>
              <w:t>Sexuellement</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Transmisible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JICA</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Japan International Cooperation Agency</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JNV</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Journées</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Nationales</w:t>
            </w:r>
            <w:proofErr w:type="spellEnd"/>
            <w:r w:rsidRPr="00621BF1">
              <w:rPr>
                <w:rFonts w:eastAsia="Times New Roman" w:cs="Times New Roman"/>
                <w:color w:val="000000"/>
                <w:sz w:val="20"/>
                <w:szCs w:val="20"/>
                <w:lang w:val="en-US"/>
              </w:rPr>
              <w:t xml:space="preserve"> de Vaccination</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JRF</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Rapport conjoint OMS/UNICEF (Joint Report Form)</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KFW</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 xml:space="preserve">Agence Allemande de Coopération financière </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LF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Loi</w:t>
            </w:r>
            <w:proofErr w:type="spellEnd"/>
            <w:r w:rsidRPr="00621BF1">
              <w:rPr>
                <w:rFonts w:eastAsia="Times New Roman" w:cs="Times New Roman"/>
                <w:color w:val="000000"/>
                <w:sz w:val="20"/>
                <w:szCs w:val="20"/>
                <w:lang w:val="en-US"/>
              </w:rPr>
              <w:t xml:space="preserve"> des Finances</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LNR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Laboratoire</w:t>
            </w:r>
            <w:proofErr w:type="spellEnd"/>
            <w:r w:rsidRPr="00621BF1">
              <w:rPr>
                <w:rFonts w:eastAsia="Times New Roman" w:cs="Times New Roman"/>
                <w:color w:val="000000"/>
                <w:sz w:val="20"/>
                <w:szCs w:val="20"/>
                <w:lang w:val="en-US"/>
              </w:rPr>
              <w:t xml:space="preserve"> National de </w:t>
            </w:r>
            <w:proofErr w:type="spellStart"/>
            <w:r w:rsidRPr="00621BF1">
              <w:rPr>
                <w:rFonts w:eastAsia="Times New Roman" w:cs="Times New Roman"/>
                <w:color w:val="000000"/>
                <w:sz w:val="20"/>
                <w:szCs w:val="20"/>
                <w:lang w:val="en-US"/>
              </w:rPr>
              <w:t>Référence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LOGIVAC</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Chaîne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logistique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vaccinale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LQAS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Lot quality assurance sampling</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MAPI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Manifestations </w:t>
            </w:r>
            <w:proofErr w:type="spellStart"/>
            <w:r w:rsidRPr="00621BF1">
              <w:rPr>
                <w:rFonts w:eastAsia="Times New Roman" w:cs="Times New Roman"/>
                <w:color w:val="000000"/>
                <w:sz w:val="20"/>
                <w:szCs w:val="20"/>
                <w:lang w:val="en-US"/>
              </w:rPr>
              <w:t>adverses</w:t>
            </w:r>
            <w:proofErr w:type="spellEnd"/>
            <w:r w:rsidRPr="00621BF1">
              <w:rPr>
                <w:rFonts w:eastAsia="Times New Roman" w:cs="Times New Roman"/>
                <w:color w:val="000000"/>
                <w:sz w:val="20"/>
                <w:szCs w:val="20"/>
                <w:lang w:val="en-US"/>
              </w:rPr>
              <w:t xml:space="preserve"> post </w:t>
            </w:r>
            <w:proofErr w:type="spellStart"/>
            <w:r w:rsidRPr="00621BF1">
              <w:rPr>
                <w:rFonts w:eastAsia="Times New Roman" w:cs="Times New Roman"/>
                <w:color w:val="000000"/>
                <w:sz w:val="20"/>
                <w:szCs w:val="20"/>
                <w:lang w:val="en-US"/>
              </w:rPr>
              <w:t>immunisations</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MCM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Médecin Chargé de la Maladie</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MCS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Méningite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cérébro</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spinale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s-US"/>
              </w:rPr>
              <w:t>MenAfrivac</w:t>
            </w:r>
            <w:proofErr w:type="spellEnd"/>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Vaccin</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Conjugué</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antiméningococcique</w:t>
            </w:r>
            <w:proofErr w:type="spellEnd"/>
            <w:r w:rsidRPr="00621BF1">
              <w:rPr>
                <w:rFonts w:eastAsia="Times New Roman" w:cs="Times New Roman"/>
                <w:color w:val="000000"/>
                <w:sz w:val="20"/>
                <w:szCs w:val="20"/>
                <w:lang w:val="en-US"/>
              </w:rPr>
              <w:t xml:space="preserve"> A</w:t>
            </w:r>
          </w:p>
        </w:tc>
      </w:tr>
      <w:tr w:rsidR="00842B5F" w:rsidRPr="00621BF1" w:rsidTr="003A10B9">
        <w:trPr>
          <w:trHeight w:val="60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MICS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 xml:space="preserve">Etude à indicateurs multiples (Multiple </w:t>
            </w:r>
            <w:proofErr w:type="spellStart"/>
            <w:r w:rsidRPr="00621BF1">
              <w:rPr>
                <w:rFonts w:eastAsia="Times New Roman" w:cs="Times New Roman"/>
                <w:color w:val="000000"/>
                <w:sz w:val="20"/>
                <w:szCs w:val="20"/>
              </w:rPr>
              <w:t>Indicators</w:t>
            </w:r>
            <w:proofErr w:type="spellEnd"/>
            <w:r w:rsidRPr="00621BF1">
              <w:rPr>
                <w:rFonts w:eastAsia="Times New Roman" w:cs="Times New Roman"/>
                <w:color w:val="000000"/>
                <w:sz w:val="20"/>
                <w:szCs w:val="20"/>
              </w:rPr>
              <w:t xml:space="preserve"> Clusters Survey)</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MII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Moustiquaire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imprégnée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d'insecticide</w:t>
            </w:r>
            <w:proofErr w:type="spellEnd"/>
          </w:p>
        </w:tc>
      </w:tr>
      <w:tr w:rsidR="00842B5F" w:rsidRPr="00621BF1" w:rsidTr="003A10B9">
        <w:trPr>
          <w:trHeight w:val="60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MLM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proofErr w:type="spellStart"/>
            <w:r w:rsidRPr="00621BF1">
              <w:rPr>
                <w:rFonts w:eastAsia="Times New Roman" w:cs="Times New Roman"/>
                <w:color w:val="000000"/>
                <w:sz w:val="20"/>
                <w:szCs w:val="20"/>
              </w:rPr>
              <w:t>Midle</w:t>
            </w:r>
            <w:proofErr w:type="spellEnd"/>
            <w:r w:rsidRPr="00621BF1">
              <w:rPr>
                <w:rFonts w:eastAsia="Times New Roman" w:cs="Times New Roman"/>
                <w:color w:val="000000"/>
                <w:sz w:val="20"/>
                <w:szCs w:val="20"/>
              </w:rPr>
              <w:t xml:space="preserve"> </w:t>
            </w:r>
            <w:proofErr w:type="spellStart"/>
            <w:r w:rsidRPr="00621BF1">
              <w:rPr>
                <w:rFonts w:eastAsia="Times New Roman" w:cs="Times New Roman"/>
                <w:color w:val="000000"/>
                <w:sz w:val="20"/>
                <w:szCs w:val="20"/>
              </w:rPr>
              <w:t>level</w:t>
            </w:r>
            <w:proofErr w:type="spellEnd"/>
            <w:r w:rsidRPr="00621BF1">
              <w:rPr>
                <w:rFonts w:eastAsia="Times New Roman" w:cs="Times New Roman"/>
                <w:color w:val="000000"/>
                <w:sz w:val="20"/>
                <w:szCs w:val="20"/>
              </w:rPr>
              <w:t xml:space="preserve"> management (Cours du niveau moyen pour les gestionnaires du PEV)</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MOSO</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Mobilisateur</w:t>
            </w:r>
            <w:proofErr w:type="spellEnd"/>
            <w:r w:rsidRPr="00621BF1">
              <w:rPr>
                <w:rFonts w:eastAsia="Times New Roman" w:cs="Times New Roman"/>
                <w:color w:val="000000"/>
                <w:sz w:val="20"/>
                <w:szCs w:val="20"/>
                <w:lang w:val="en-US"/>
              </w:rPr>
              <w:t xml:space="preserve"> Social</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MPE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Maladie</w:t>
            </w:r>
            <w:proofErr w:type="spellEnd"/>
            <w:r w:rsidRPr="00621BF1">
              <w:rPr>
                <w:rFonts w:eastAsia="Times New Roman" w:cs="Times New Roman"/>
                <w:color w:val="000000"/>
                <w:sz w:val="20"/>
                <w:szCs w:val="20"/>
                <w:lang w:val="en-US"/>
              </w:rPr>
              <w:t xml:space="preserve"> à </w:t>
            </w:r>
            <w:proofErr w:type="spellStart"/>
            <w:r w:rsidRPr="00621BF1">
              <w:rPr>
                <w:rFonts w:eastAsia="Times New Roman" w:cs="Times New Roman"/>
                <w:color w:val="000000"/>
                <w:sz w:val="20"/>
                <w:szCs w:val="20"/>
                <w:lang w:val="en-US"/>
              </w:rPr>
              <w:t>potentiel</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épidémique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MSF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Médecins</w:t>
            </w:r>
            <w:proofErr w:type="spellEnd"/>
            <w:r w:rsidRPr="00621BF1">
              <w:rPr>
                <w:rFonts w:eastAsia="Times New Roman" w:cs="Times New Roman"/>
                <w:color w:val="000000"/>
                <w:sz w:val="20"/>
                <w:szCs w:val="20"/>
                <w:lang w:val="en-US"/>
              </w:rPr>
              <w:t xml:space="preserve"> Sans </w:t>
            </w:r>
            <w:proofErr w:type="spellStart"/>
            <w:r w:rsidRPr="00621BF1">
              <w:rPr>
                <w:rFonts w:eastAsia="Times New Roman" w:cs="Times New Roman"/>
                <w:color w:val="000000"/>
                <w:sz w:val="20"/>
                <w:szCs w:val="20"/>
                <w:lang w:val="en-US"/>
              </w:rPr>
              <w:t>Frontières</w:t>
            </w:r>
            <w:proofErr w:type="spellEnd"/>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MSHP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Ministère de la Santé et de l’Hygiène Publique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MSR</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Maternité</w:t>
            </w:r>
            <w:proofErr w:type="spellEnd"/>
            <w:r w:rsidRPr="00621BF1">
              <w:rPr>
                <w:rFonts w:eastAsia="Times New Roman" w:cs="Times New Roman"/>
                <w:color w:val="000000"/>
                <w:sz w:val="20"/>
                <w:szCs w:val="20"/>
                <w:lang w:val="en-US"/>
              </w:rPr>
              <w:t xml:space="preserve"> Sans </w:t>
            </w:r>
            <w:proofErr w:type="spellStart"/>
            <w:r w:rsidRPr="00621BF1">
              <w:rPr>
                <w:rFonts w:eastAsia="Times New Roman" w:cs="Times New Roman"/>
                <w:color w:val="000000"/>
                <w:sz w:val="20"/>
                <w:szCs w:val="20"/>
                <w:lang w:val="en-US"/>
              </w:rPr>
              <w:t>Risque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MVE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Maladie</w:t>
            </w:r>
            <w:proofErr w:type="spellEnd"/>
            <w:r w:rsidRPr="00621BF1">
              <w:rPr>
                <w:rFonts w:eastAsia="Times New Roman" w:cs="Times New Roman"/>
                <w:color w:val="000000"/>
                <w:sz w:val="20"/>
                <w:szCs w:val="20"/>
                <w:lang w:val="en-US"/>
              </w:rPr>
              <w:t xml:space="preserve"> à Virus Ebola</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ND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Non </w:t>
            </w:r>
            <w:proofErr w:type="spellStart"/>
            <w:r w:rsidRPr="00621BF1">
              <w:rPr>
                <w:rFonts w:eastAsia="Times New Roman" w:cs="Times New Roman"/>
                <w:color w:val="000000"/>
                <w:sz w:val="20"/>
                <w:szCs w:val="20"/>
                <w:lang w:val="en-US"/>
              </w:rPr>
              <w:t>Déterminé</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OFDA</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Office Foreign Disaster Assistance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 xml:space="preserve">OIM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Organisation Internationale  pour la Migration</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OMD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Objectifs du Millénaire pour le Développement</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OMS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Organisation Mondiale de la Santé</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ONG</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Organisations Non Gouvernementales</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PAO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Plan </w:t>
            </w:r>
            <w:proofErr w:type="spellStart"/>
            <w:r w:rsidRPr="00621BF1">
              <w:rPr>
                <w:rFonts w:eastAsia="Times New Roman" w:cs="Times New Roman"/>
                <w:color w:val="000000"/>
                <w:sz w:val="20"/>
                <w:szCs w:val="20"/>
                <w:lang w:val="en-US"/>
              </w:rPr>
              <w:t>Annuel</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Opérationnel</w:t>
            </w:r>
            <w:proofErr w:type="spellEnd"/>
          </w:p>
        </w:tc>
      </w:tr>
      <w:tr w:rsidR="00842B5F" w:rsidRPr="00621BF1" w:rsidTr="003A10B9">
        <w:trPr>
          <w:trHeight w:val="390"/>
        </w:trPr>
        <w:tc>
          <w:tcPr>
            <w:tcW w:w="1601" w:type="dxa"/>
            <w:tcBorders>
              <w:left w:val="single" w:sz="12" w:space="0" w:color="B4C6E7" w:themeColor="accent5" w:themeTint="66"/>
              <w:bottom w:val="single" w:sz="4" w:space="0" w:color="auto"/>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PAS                   </w:t>
            </w:r>
          </w:p>
        </w:tc>
        <w:tc>
          <w:tcPr>
            <w:tcW w:w="8454" w:type="dxa"/>
            <w:tcBorders>
              <w:left w:val="single" w:sz="12" w:space="0" w:color="B4C6E7" w:themeColor="accent5" w:themeTint="66"/>
              <w:bottom w:val="single" w:sz="4" w:space="0" w:color="auto"/>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Programme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d’Ajustement</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Structurel</w:t>
            </w:r>
            <w:proofErr w:type="spellEnd"/>
          </w:p>
        </w:tc>
      </w:tr>
      <w:tr w:rsidR="00842B5F" w:rsidRPr="00621BF1" w:rsidTr="003A10B9">
        <w:trPr>
          <w:trHeight w:val="390"/>
        </w:trPr>
        <w:tc>
          <w:tcPr>
            <w:tcW w:w="1601" w:type="dxa"/>
            <w:tcBorders>
              <w:top w:val="single" w:sz="4" w:space="0" w:color="auto"/>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lastRenderedPageBreak/>
              <w:t xml:space="preserve">PCG                  </w:t>
            </w:r>
          </w:p>
        </w:tc>
        <w:tc>
          <w:tcPr>
            <w:tcW w:w="8454" w:type="dxa"/>
            <w:tcBorders>
              <w:top w:val="single" w:sz="4" w:space="0" w:color="auto"/>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Pharmacie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Centrale</w:t>
            </w:r>
            <w:proofErr w:type="spellEnd"/>
            <w:r w:rsidRPr="00621BF1">
              <w:rPr>
                <w:rFonts w:eastAsia="Times New Roman" w:cs="Times New Roman"/>
                <w:color w:val="000000"/>
                <w:sz w:val="20"/>
                <w:szCs w:val="20"/>
                <w:lang w:val="en-US"/>
              </w:rPr>
              <w:t xml:space="preserve"> de </w:t>
            </w:r>
            <w:proofErr w:type="spellStart"/>
            <w:r w:rsidRPr="00621BF1">
              <w:rPr>
                <w:rFonts w:eastAsia="Times New Roman" w:cs="Times New Roman"/>
                <w:color w:val="000000"/>
                <w:sz w:val="20"/>
                <w:szCs w:val="20"/>
                <w:lang w:val="en-US"/>
              </w:rPr>
              <w:t>Guinée</w:t>
            </w:r>
            <w:proofErr w:type="spellEnd"/>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PCIME</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Prise en Charge Intégrée des Maladies de l’Enfant</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PCIMNE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Prise en Charge de la Mère du Nouveau- Né et de l’Enfant</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PCV</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Pastille de Contrôle du Vaccin</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PCV-13</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w:t>
            </w:r>
            <w:proofErr w:type="spellStart"/>
            <w:r w:rsidRPr="00621BF1">
              <w:rPr>
                <w:rFonts w:eastAsia="Times New Roman" w:cs="Times New Roman"/>
                <w:color w:val="000000"/>
                <w:sz w:val="20"/>
                <w:szCs w:val="20"/>
                <w:lang w:val="en-US"/>
              </w:rPr>
              <w:t>Vaccin</w:t>
            </w:r>
            <w:proofErr w:type="spellEnd"/>
            <w:r w:rsidRPr="00621BF1">
              <w:rPr>
                <w:rFonts w:eastAsia="Times New Roman" w:cs="Times New Roman"/>
                <w:color w:val="000000"/>
                <w:sz w:val="20"/>
                <w:szCs w:val="20"/>
                <w:lang w:val="en-US"/>
              </w:rPr>
              <w:t xml:space="preserve"> anti-</w:t>
            </w:r>
            <w:proofErr w:type="spellStart"/>
            <w:r w:rsidRPr="00621BF1">
              <w:rPr>
                <w:rFonts w:eastAsia="Times New Roman" w:cs="Times New Roman"/>
                <w:color w:val="000000"/>
                <w:sz w:val="20"/>
                <w:szCs w:val="20"/>
                <w:lang w:val="en-US"/>
              </w:rPr>
              <w:t>Pneumococcique</w:t>
            </w:r>
            <w:proofErr w:type="spellEnd"/>
            <w:r w:rsidRPr="00621BF1">
              <w:rPr>
                <w:rFonts w:eastAsia="Times New Roman" w:cs="Times New Roman"/>
                <w:color w:val="000000"/>
                <w:sz w:val="20"/>
                <w:szCs w:val="20"/>
                <w:lang w:val="en-US"/>
              </w:rPr>
              <w:t xml:space="preserve"> / 13</w:t>
            </w:r>
          </w:p>
        </w:tc>
      </w:tr>
      <w:tr w:rsidR="00842B5F" w:rsidRPr="00621BF1" w:rsidTr="003A10B9">
        <w:trPr>
          <w:trHeight w:val="60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PEV-SSP-ME</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Programme Elargi de Vaccination/Soins de Santé Primaire/Médicaments Essentiels</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PFA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Paralysie Flasque Aiguë            </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PIB</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Produit</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Intérieur</w:t>
            </w:r>
            <w:proofErr w:type="spellEnd"/>
            <w:r w:rsidRPr="00621BF1">
              <w:rPr>
                <w:rFonts w:eastAsia="Times New Roman" w:cs="Times New Roman"/>
                <w:color w:val="000000"/>
                <w:sz w:val="20"/>
                <w:szCs w:val="20"/>
                <w:lang w:val="en-US"/>
              </w:rPr>
              <w:t xml:space="preserve">  Brut</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PIP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Programme d’Investissements Publics</w:t>
            </w:r>
          </w:p>
        </w:tc>
      </w:tr>
      <w:tr w:rsidR="00E2516C"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tcPr>
          <w:p w:rsidR="00E2516C" w:rsidRPr="00621BF1" w:rsidRDefault="00E2516C"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PIS</w:t>
            </w:r>
          </w:p>
        </w:tc>
        <w:tc>
          <w:tcPr>
            <w:tcW w:w="8454" w:type="dxa"/>
            <w:tcBorders>
              <w:left w:val="single" w:sz="12" w:space="0" w:color="B4C6E7" w:themeColor="accent5" w:themeTint="66"/>
              <w:right w:val="single" w:sz="12" w:space="0" w:color="B4C6E7" w:themeColor="accent5" w:themeTint="66"/>
            </w:tcBorders>
            <w:shd w:val="clear" w:color="auto" w:fill="auto"/>
            <w:vAlign w:val="center"/>
          </w:tcPr>
          <w:p w:rsidR="00E2516C" w:rsidRPr="00621BF1" w:rsidRDefault="00E2516C" w:rsidP="00842B5F">
            <w:pPr>
              <w:spacing w:after="0" w:line="240" w:lineRule="auto"/>
              <w:rPr>
                <w:rFonts w:eastAsia="Times New Roman" w:cs="Times New Roman"/>
                <w:color w:val="000000"/>
                <w:sz w:val="20"/>
                <w:szCs w:val="20"/>
              </w:rPr>
            </w:pPr>
            <w:proofErr w:type="spellStart"/>
            <w:r w:rsidRPr="00621BF1">
              <w:rPr>
                <w:rFonts w:eastAsia="Times New Roman" w:cs="Times New Roman"/>
                <w:color w:val="000000"/>
                <w:sz w:val="20"/>
                <w:szCs w:val="20"/>
              </w:rPr>
              <w:t>Produt</w:t>
            </w:r>
            <w:proofErr w:type="spellEnd"/>
            <w:r w:rsidRPr="00621BF1">
              <w:rPr>
                <w:rFonts w:eastAsia="Times New Roman" w:cs="Times New Roman"/>
                <w:color w:val="000000"/>
                <w:sz w:val="20"/>
                <w:szCs w:val="20"/>
              </w:rPr>
              <w:t xml:space="preserve"> Information </w:t>
            </w:r>
            <w:proofErr w:type="spellStart"/>
            <w:r w:rsidRPr="00621BF1">
              <w:rPr>
                <w:rFonts w:eastAsia="Times New Roman" w:cs="Times New Roman"/>
                <w:color w:val="000000"/>
                <w:sz w:val="20"/>
                <w:szCs w:val="20"/>
              </w:rPr>
              <w:t>Sheet</w:t>
            </w:r>
            <w:proofErr w:type="spellEnd"/>
            <w:r w:rsidRPr="00621BF1">
              <w:rPr>
                <w:rFonts w:eastAsia="Times New Roman" w:cs="Times New Roman"/>
                <w:color w:val="000000"/>
                <w:sz w:val="20"/>
                <w:szCs w:val="20"/>
              </w:rPr>
              <w:t xml:space="preserve"> (Fiche d'information sur les produits)</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PNDS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Plan National de Développement Sanitaire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PNLP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Programme National de Lutte contre le Paludisme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PNUD</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Programme des Nations Unies pour le Développement</w:t>
            </w:r>
          </w:p>
        </w:tc>
      </w:tr>
      <w:tr w:rsidR="00E2516C"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tcPr>
          <w:p w:rsidR="00E2516C" w:rsidRPr="00621BF1" w:rsidRDefault="00E2516C" w:rsidP="00842B5F">
            <w:pPr>
              <w:spacing w:after="0" w:line="240" w:lineRule="auto"/>
              <w:rPr>
                <w:rFonts w:eastAsia="Times New Roman" w:cs="Arial"/>
                <w:color w:val="000000"/>
                <w:sz w:val="20"/>
                <w:szCs w:val="20"/>
              </w:rPr>
            </w:pPr>
            <w:r w:rsidRPr="00621BF1">
              <w:rPr>
                <w:rFonts w:eastAsia="Times New Roman" w:cs="Arial"/>
                <w:color w:val="000000"/>
                <w:sz w:val="20"/>
                <w:szCs w:val="20"/>
              </w:rPr>
              <w:t>PON</w:t>
            </w:r>
          </w:p>
        </w:tc>
        <w:tc>
          <w:tcPr>
            <w:tcW w:w="8454" w:type="dxa"/>
            <w:tcBorders>
              <w:left w:val="single" w:sz="12" w:space="0" w:color="B4C6E7" w:themeColor="accent5" w:themeTint="66"/>
              <w:right w:val="single" w:sz="12" w:space="0" w:color="B4C6E7" w:themeColor="accent5" w:themeTint="66"/>
            </w:tcBorders>
            <w:shd w:val="clear" w:color="auto" w:fill="auto"/>
            <w:vAlign w:val="center"/>
          </w:tcPr>
          <w:p w:rsidR="00E2516C" w:rsidRPr="00621BF1" w:rsidRDefault="00E2516C" w:rsidP="00E2516C">
            <w:pPr>
              <w:spacing w:after="0" w:line="240" w:lineRule="auto"/>
              <w:rPr>
                <w:rFonts w:eastAsia="Times New Roman" w:cs="Times New Roman"/>
                <w:color w:val="000000"/>
                <w:sz w:val="20"/>
                <w:szCs w:val="20"/>
              </w:rPr>
            </w:pPr>
            <w:proofErr w:type="spellStart"/>
            <w:r w:rsidRPr="00621BF1">
              <w:rPr>
                <w:rFonts w:eastAsia="Times New Roman" w:cs="Times New Roman"/>
                <w:color w:val="000000"/>
                <w:sz w:val="20"/>
                <w:szCs w:val="20"/>
                <w:lang w:val="en-US"/>
              </w:rPr>
              <w:t>Proc</w:t>
            </w:r>
            <w:proofErr w:type="spellEnd"/>
            <w:r w:rsidRPr="00621BF1">
              <w:rPr>
                <w:rFonts w:eastAsia="Times New Roman" w:cs="Times New Roman"/>
                <w:color w:val="000000"/>
                <w:sz w:val="20"/>
                <w:szCs w:val="20"/>
              </w:rPr>
              <w:t>é</w:t>
            </w:r>
            <w:proofErr w:type="spellStart"/>
            <w:r w:rsidRPr="00621BF1">
              <w:rPr>
                <w:rFonts w:eastAsia="Times New Roman" w:cs="Times New Roman"/>
                <w:color w:val="000000"/>
                <w:sz w:val="20"/>
                <w:szCs w:val="20"/>
                <w:lang w:val="en-US"/>
              </w:rPr>
              <w:t>dures</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Opératoires</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normalisées</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PPAC</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Plan </w:t>
            </w:r>
            <w:proofErr w:type="spellStart"/>
            <w:r w:rsidRPr="00621BF1">
              <w:rPr>
                <w:rFonts w:eastAsia="Times New Roman" w:cs="Times New Roman"/>
                <w:color w:val="000000"/>
                <w:sz w:val="20"/>
                <w:szCs w:val="20"/>
                <w:lang w:val="en-US"/>
              </w:rPr>
              <w:t>Pluri</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Annuel</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Complet</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PPTE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Pays </w:t>
            </w:r>
            <w:proofErr w:type="spellStart"/>
            <w:r w:rsidRPr="00621BF1">
              <w:rPr>
                <w:rFonts w:eastAsia="Times New Roman" w:cs="Times New Roman"/>
                <w:color w:val="000000"/>
                <w:sz w:val="20"/>
                <w:szCs w:val="20"/>
                <w:lang w:val="en-US"/>
              </w:rPr>
              <w:t>Pauvres</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Très</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Endettés</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PQS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Performance, Quality and Safety  </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PTF</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E2516C"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Parte</w:t>
            </w:r>
            <w:r w:rsidR="00842B5F" w:rsidRPr="00621BF1">
              <w:rPr>
                <w:rFonts w:eastAsia="Times New Roman" w:cs="Times New Roman"/>
                <w:color w:val="000000"/>
                <w:sz w:val="20"/>
                <w:szCs w:val="20"/>
                <w:lang w:val="en-US"/>
              </w:rPr>
              <w:t>naire</w:t>
            </w:r>
            <w:proofErr w:type="spellEnd"/>
            <w:r w:rsidR="00842B5F" w:rsidRPr="00621BF1">
              <w:rPr>
                <w:rFonts w:eastAsia="Times New Roman" w:cs="Times New Roman"/>
                <w:color w:val="000000"/>
                <w:sz w:val="20"/>
                <w:szCs w:val="20"/>
                <w:lang w:val="en-US"/>
              </w:rPr>
              <w:t xml:space="preserve"> Technique et Financier</w:t>
            </w:r>
          </w:p>
        </w:tc>
      </w:tr>
      <w:tr w:rsidR="00842B5F" w:rsidRPr="00621BF1" w:rsidTr="003A10B9">
        <w:trPr>
          <w:trHeight w:val="60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PTME/CDV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Prévention de Transmission Mère Enfant –Conseil Dépistage Volontaire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PVDV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3A10B9" w:rsidRDefault="00842B5F" w:rsidP="00842B5F">
            <w:pPr>
              <w:spacing w:after="0" w:line="240" w:lineRule="auto"/>
              <w:rPr>
                <w:rFonts w:eastAsia="Times New Roman" w:cs="Times New Roman"/>
                <w:color w:val="000000"/>
                <w:sz w:val="20"/>
                <w:szCs w:val="20"/>
              </w:rPr>
            </w:pPr>
            <w:r w:rsidRPr="003A10B9">
              <w:rPr>
                <w:rFonts w:eastAsia="Times New Roman" w:cs="Times New Roman"/>
                <w:color w:val="000000"/>
                <w:sz w:val="20"/>
                <w:szCs w:val="20"/>
              </w:rPr>
              <w:t>Polio Virus de Dérivé Vaccinal</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RGPH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Recensement Général de la Population et de l’Habitat</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RSA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Rapport de Situation </w:t>
            </w:r>
            <w:proofErr w:type="spellStart"/>
            <w:r w:rsidRPr="00621BF1">
              <w:rPr>
                <w:rFonts w:eastAsia="Times New Roman" w:cs="Times New Roman"/>
                <w:color w:val="000000"/>
                <w:sz w:val="20"/>
                <w:szCs w:val="20"/>
                <w:lang w:val="en-US"/>
              </w:rPr>
              <w:t>Annuel</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 xml:space="preserve">S/T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Secrétariat</w:t>
            </w:r>
            <w:proofErr w:type="spellEnd"/>
            <w:r w:rsidRPr="00621BF1">
              <w:rPr>
                <w:rFonts w:eastAsia="Times New Roman" w:cs="Times New Roman"/>
                <w:color w:val="000000"/>
                <w:sz w:val="20"/>
                <w:szCs w:val="20"/>
                <w:lang w:val="en-US"/>
              </w:rPr>
              <w:t xml:space="preserve"> Technique</w:t>
            </w:r>
          </w:p>
        </w:tc>
      </w:tr>
      <w:tr w:rsidR="00842B5F" w:rsidRPr="007B610D"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SARA</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Service </w:t>
            </w:r>
            <w:proofErr w:type="spellStart"/>
            <w:r w:rsidRPr="00621BF1">
              <w:rPr>
                <w:rFonts w:eastAsia="Times New Roman" w:cs="Times New Roman"/>
                <w:color w:val="000000"/>
                <w:sz w:val="20"/>
                <w:szCs w:val="20"/>
                <w:lang w:val="en-US"/>
              </w:rPr>
              <w:t>Avalibility</w:t>
            </w:r>
            <w:proofErr w:type="spellEnd"/>
            <w:r w:rsidRPr="00621BF1">
              <w:rPr>
                <w:rFonts w:eastAsia="Times New Roman" w:cs="Times New Roman"/>
                <w:color w:val="000000"/>
                <w:sz w:val="20"/>
                <w:szCs w:val="20"/>
                <w:lang w:val="en-US"/>
              </w:rPr>
              <w:t xml:space="preserve"> and Readiness Assessment</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SBC</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Surveillance à Base </w:t>
            </w:r>
            <w:proofErr w:type="spellStart"/>
            <w:r w:rsidRPr="00621BF1">
              <w:rPr>
                <w:rFonts w:eastAsia="Times New Roman" w:cs="Times New Roman"/>
                <w:color w:val="000000"/>
                <w:sz w:val="20"/>
                <w:szCs w:val="20"/>
                <w:lang w:val="en-US"/>
              </w:rPr>
              <w:t>Communautaire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SDD</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 Solar Direct Drive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 xml:space="preserve">SGAR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Secrétaire Général pour les Affaires Régionales</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 xml:space="preserve">SIDA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Syndrome </w:t>
            </w:r>
            <w:proofErr w:type="spellStart"/>
            <w:r w:rsidRPr="00621BF1">
              <w:rPr>
                <w:rFonts w:eastAsia="Times New Roman" w:cs="Times New Roman"/>
                <w:color w:val="000000"/>
                <w:sz w:val="20"/>
                <w:szCs w:val="20"/>
                <w:lang w:val="en-US"/>
              </w:rPr>
              <w:t>Immunodéficience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Acquise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SMT</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Stock Management Tool</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SNIGS</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Système National d’Information et de Gestion Sanitaires</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SONUB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Soins Obstétricaux et Néonataux d’Urgence de Base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Td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Toxine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tétanique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diphtérique</w:t>
            </w:r>
            <w:proofErr w:type="spellEnd"/>
          </w:p>
        </w:tc>
      </w:tr>
      <w:tr w:rsidR="00842B5F" w:rsidRPr="00621BF1" w:rsidTr="003A10B9">
        <w:trPr>
          <w:trHeight w:val="345"/>
        </w:trPr>
        <w:tc>
          <w:tcPr>
            <w:tcW w:w="1601" w:type="dxa"/>
            <w:tcBorders>
              <w:left w:val="single" w:sz="12" w:space="0" w:color="B4C6E7" w:themeColor="accent5" w:themeTint="66"/>
              <w:bottom w:val="nil"/>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TMN</w:t>
            </w:r>
          </w:p>
        </w:tc>
        <w:tc>
          <w:tcPr>
            <w:tcW w:w="8454" w:type="dxa"/>
            <w:tcBorders>
              <w:left w:val="single" w:sz="12" w:space="0" w:color="B4C6E7" w:themeColor="accent5" w:themeTint="66"/>
              <w:bottom w:val="nil"/>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Tétanos</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Maternel</w:t>
            </w:r>
            <w:proofErr w:type="spellEnd"/>
            <w:r w:rsidRPr="00621BF1">
              <w:rPr>
                <w:rFonts w:eastAsia="Times New Roman" w:cs="Times New Roman"/>
                <w:color w:val="000000"/>
                <w:sz w:val="20"/>
                <w:szCs w:val="20"/>
                <w:lang w:val="en-US"/>
              </w:rPr>
              <w:t xml:space="preserve"> et </w:t>
            </w:r>
            <w:proofErr w:type="spellStart"/>
            <w:r w:rsidRPr="00621BF1">
              <w:rPr>
                <w:rFonts w:eastAsia="Times New Roman" w:cs="Times New Roman"/>
                <w:color w:val="000000"/>
                <w:sz w:val="20"/>
                <w:szCs w:val="20"/>
                <w:lang w:val="en-US"/>
              </w:rPr>
              <w:t>Néonatal</w:t>
            </w:r>
            <w:proofErr w:type="spellEnd"/>
          </w:p>
        </w:tc>
      </w:tr>
      <w:tr w:rsidR="00842B5F" w:rsidRPr="00621BF1" w:rsidTr="003A10B9">
        <w:trPr>
          <w:trHeight w:val="345"/>
        </w:trPr>
        <w:tc>
          <w:tcPr>
            <w:tcW w:w="1601" w:type="dxa"/>
            <w:tcBorders>
              <w:top w:val="nil"/>
              <w:left w:val="single" w:sz="12" w:space="0" w:color="B4C6E7" w:themeColor="accent5" w:themeTint="66"/>
              <w:bottom w:val="single" w:sz="4" w:space="0" w:color="auto"/>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TNN</w:t>
            </w:r>
          </w:p>
        </w:tc>
        <w:tc>
          <w:tcPr>
            <w:tcW w:w="8454" w:type="dxa"/>
            <w:tcBorders>
              <w:top w:val="nil"/>
              <w:left w:val="single" w:sz="12" w:space="0" w:color="B4C6E7" w:themeColor="accent5" w:themeTint="66"/>
              <w:bottom w:val="single" w:sz="4" w:space="0" w:color="auto"/>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Tétanos</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Néonatal</w:t>
            </w:r>
            <w:proofErr w:type="spellEnd"/>
          </w:p>
        </w:tc>
      </w:tr>
      <w:tr w:rsidR="00842B5F" w:rsidRPr="00621BF1" w:rsidTr="003A10B9">
        <w:trPr>
          <w:trHeight w:val="345"/>
        </w:trPr>
        <w:tc>
          <w:tcPr>
            <w:tcW w:w="1601" w:type="dxa"/>
            <w:tcBorders>
              <w:top w:val="single" w:sz="4" w:space="0" w:color="auto"/>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lastRenderedPageBreak/>
              <w:t xml:space="preserve">TT  </w:t>
            </w:r>
          </w:p>
        </w:tc>
        <w:tc>
          <w:tcPr>
            <w:tcW w:w="8454" w:type="dxa"/>
            <w:tcBorders>
              <w:top w:val="single" w:sz="4" w:space="0" w:color="auto"/>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Toxine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tétanique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UNFPA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Fonds des Nations Unies pour la Population</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UNICEF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Fonds des Nations Unies pour l’Enfance</w:t>
            </w:r>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Arial"/>
                <w:color w:val="000000"/>
                <w:sz w:val="20"/>
                <w:szCs w:val="20"/>
              </w:rPr>
              <w:t xml:space="preserve">URTELGUI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Union des radios et télévisions libres de Guinée</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USAID</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rPr>
            </w:pPr>
            <w:r w:rsidRPr="00621BF1">
              <w:rPr>
                <w:rFonts w:eastAsia="Times New Roman" w:cs="Times New Roman"/>
                <w:color w:val="000000"/>
                <w:sz w:val="20"/>
                <w:szCs w:val="20"/>
              </w:rPr>
              <w:t>Agence Internationale pour le Développement des Etats Unis</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VAA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Vaccin </w:t>
            </w:r>
            <w:proofErr w:type="spellStart"/>
            <w:r w:rsidRPr="00621BF1">
              <w:rPr>
                <w:rFonts w:eastAsia="Times New Roman" w:cs="Times New Roman"/>
                <w:color w:val="000000"/>
                <w:sz w:val="20"/>
                <w:szCs w:val="20"/>
              </w:rPr>
              <w:t>Anti-Amaril</w:t>
            </w:r>
            <w:proofErr w:type="spellEnd"/>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VAR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Vaccin Anti-Rougeoleux</w:t>
            </w:r>
          </w:p>
        </w:tc>
      </w:tr>
      <w:tr w:rsidR="00842B5F" w:rsidRPr="00621BF1" w:rsidTr="003A10B9">
        <w:trPr>
          <w:trHeight w:val="390"/>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VAT </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 xml:space="preserve">Vaccin </w:t>
            </w:r>
            <w:proofErr w:type="spellStart"/>
            <w:r w:rsidRPr="00621BF1">
              <w:rPr>
                <w:rFonts w:eastAsia="Times New Roman" w:cs="Times New Roman"/>
                <w:color w:val="000000"/>
                <w:sz w:val="20"/>
                <w:szCs w:val="20"/>
              </w:rPr>
              <w:t>Anti-Tétanique</w:t>
            </w:r>
            <w:proofErr w:type="spellEnd"/>
          </w:p>
        </w:tc>
      </w:tr>
      <w:tr w:rsidR="00842B5F" w:rsidRPr="00621BF1" w:rsidTr="003A10B9">
        <w:trPr>
          <w:trHeight w:val="345"/>
        </w:trPr>
        <w:tc>
          <w:tcPr>
            <w:tcW w:w="1601" w:type="dxa"/>
            <w:tcBorders>
              <w:left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VIH</w:t>
            </w:r>
          </w:p>
        </w:tc>
        <w:tc>
          <w:tcPr>
            <w:tcW w:w="8454" w:type="dxa"/>
            <w:tcBorders>
              <w:left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lang w:val="en-US"/>
              </w:rPr>
              <w:t xml:space="preserve">Virus de </w:t>
            </w:r>
            <w:proofErr w:type="spellStart"/>
            <w:r w:rsidRPr="00621BF1">
              <w:rPr>
                <w:rFonts w:eastAsia="Times New Roman" w:cs="Times New Roman"/>
                <w:color w:val="000000"/>
                <w:sz w:val="20"/>
                <w:szCs w:val="20"/>
                <w:lang w:val="en-US"/>
              </w:rPr>
              <w:t>l’Immunodéficience</w:t>
            </w:r>
            <w:proofErr w:type="spellEnd"/>
            <w:r w:rsidRPr="00621BF1">
              <w:rPr>
                <w:rFonts w:eastAsia="Times New Roman" w:cs="Times New Roman"/>
                <w:color w:val="000000"/>
                <w:sz w:val="20"/>
                <w:szCs w:val="20"/>
                <w:lang w:val="en-US"/>
              </w:rPr>
              <w:t xml:space="preserve"> </w:t>
            </w:r>
            <w:proofErr w:type="spellStart"/>
            <w:r w:rsidRPr="00621BF1">
              <w:rPr>
                <w:rFonts w:eastAsia="Times New Roman" w:cs="Times New Roman"/>
                <w:color w:val="000000"/>
                <w:sz w:val="20"/>
                <w:szCs w:val="20"/>
                <w:lang w:val="en-US"/>
              </w:rPr>
              <w:t>Humaine</w:t>
            </w:r>
            <w:proofErr w:type="spellEnd"/>
            <w:r w:rsidRPr="00621BF1">
              <w:rPr>
                <w:rFonts w:eastAsia="Times New Roman" w:cs="Times New Roman"/>
                <w:color w:val="000000"/>
                <w:sz w:val="20"/>
                <w:szCs w:val="20"/>
                <w:lang w:val="en-US"/>
              </w:rPr>
              <w:t xml:space="preserve"> </w:t>
            </w:r>
          </w:p>
        </w:tc>
      </w:tr>
      <w:tr w:rsidR="00842B5F" w:rsidRPr="00621BF1" w:rsidTr="003A10B9">
        <w:trPr>
          <w:trHeight w:val="390"/>
        </w:trPr>
        <w:tc>
          <w:tcPr>
            <w:tcW w:w="1601" w:type="dxa"/>
            <w:tcBorders>
              <w:left w:val="single" w:sz="12" w:space="0" w:color="B4C6E7" w:themeColor="accent5" w:themeTint="66"/>
              <w:bottom w:val="nil"/>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VPI</w:t>
            </w:r>
          </w:p>
        </w:tc>
        <w:tc>
          <w:tcPr>
            <w:tcW w:w="8454" w:type="dxa"/>
            <w:tcBorders>
              <w:left w:val="single" w:sz="12" w:space="0" w:color="B4C6E7" w:themeColor="accent5" w:themeTint="66"/>
              <w:bottom w:val="nil"/>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proofErr w:type="spellStart"/>
            <w:r w:rsidRPr="00621BF1">
              <w:rPr>
                <w:rFonts w:eastAsia="Times New Roman" w:cs="Times New Roman"/>
                <w:color w:val="000000"/>
                <w:sz w:val="20"/>
                <w:szCs w:val="20"/>
                <w:lang w:val="en-US"/>
              </w:rPr>
              <w:t>Vaccin</w:t>
            </w:r>
            <w:proofErr w:type="spellEnd"/>
            <w:r w:rsidRPr="00621BF1">
              <w:rPr>
                <w:rFonts w:eastAsia="Times New Roman" w:cs="Times New Roman"/>
                <w:color w:val="000000"/>
                <w:sz w:val="20"/>
                <w:szCs w:val="20"/>
                <w:lang w:val="en-US"/>
              </w:rPr>
              <w:t xml:space="preserve"> Polio Injectable</w:t>
            </w:r>
          </w:p>
        </w:tc>
      </w:tr>
      <w:tr w:rsidR="00842B5F" w:rsidRPr="00621BF1" w:rsidTr="003A10B9">
        <w:trPr>
          <w:trHeight w:val="390"/>
        </w:trPr>
        <w:tc>
          <w:tcPr>
            <w:tcW w:w="1601" w:type="dxa"/>
            <w:tcBorders>
              <w:top w:val="nil"/>
              <w:left w:val="single" w:sz="12" w:space="0" w:color="B4C6E7" w:themeColor="accent5" w:themeTint="66"/>
              <w:bottom w:val="single" w:sz="12" w:space="0" w:color="B4C6E7" w:themeColor="accent5" w:themeTint="66"/>
              <w:right w:val="single" w:sz="12" w:space="0" w:color="B4C6E7" w:themeColor="accent5" w:themeTint="66"/>
            </w:tcBorders>
            <w:shd w:val="clear" w:color="000000" w:fill="D9D9D9"/>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VPO </w:t>
            </w:r>
          </w:p>
        </w:tc>
        <w:tc>
          <w:tcPr>
            <w:tcW w:w="8454" w:type="dxa"/>
            <w:tcBorders>
              <w:top w:val="nil"/>
              <w:left w:val="single" w:sz="12" w:space="0" w:color="B4C6E7" w:themeColor="accent5" w:themeTint="66"/>
              <w:bottom w:val="single" w:sz="12" w:space="0" w:color="B4C6E7" w:themeColor="accent5" w:themeTint="66"/>
              <w:right w:val="single" w:sz="12" w:space="0" w:color="B4C6E7" w:themeColor="accent5" w:themeTint="66"/>
            </w:tcBorders>
            <w:shd w:val="clear" w:color="auto" w:fill="auto"/>
            <w:vAlign w:val="center"/>
            <w:hideMark/>
          </w:tcPr>
          <w:p w:rsidR="00842B5F" w:rsidRPr="00621BF1" w:rsidRDefault="00842B5F" w:rsidP="00842B5F">
            <w:pPr>
              <w:spacing w:after="0" w:line="240" w:lineRule="auto"/>
              <w:rPr>
                <w:rFonts w:eastAsia="Times New Roman" w:cs="Times New Roman"/>
                <w:color w:val="000000"/>
                <w:sz w:val="20"/>
                <w:szCs w:val="20"/>
                <w:lang w:val="en-US"/>
              </w:rPr>
            </w:pPr>
            <w:r w:rsidRPr="00621BF1">
              <w:rPr>
                <w:rFonts w:eastAsia="Times New Roman" w:cs="Times New Roman"/>
                <w:color w:val="000000"/>
                <w:sz w:val="20"/>
                <w:szCs w:val="20"/>
              </w:rPr>
              <w:t>Vaccin Polio Oral</w:t>
            </w:r>
          </w:p>
        </w:tc>
      </w:tr>
    </w:tbl>
    <w:p w:rsidR="0082102A" w:rsidRPr="00621BF1" w:rsidRDefault="0082102A" w:rsidP="0034650F"/>
    <w:p w:rsidR="0082102A" w:rsidRPr="00621BF1" w:rsidRDefault="0082102A" w:rsidP="0034650F"/>
    <w:p w:rsidR="0082102A" w:rsidRPr="00621BF1" w:rsidRDefault="0082102A" w:rsidP="0034650F"/>
    <w:p w:rsidR="0082102A" w:rsidRPr="00621BF1" w:rsidRDefault="0082102A" w:rsidP="0034650F"/>
    <w:p w:rsidR="0082102A" w:rsidRPr="00621BF1" w:rsidRDefault="0082102A" w:rsidP="0034650F"/>
    <w:p w:rsidR="0034650F" w:rsidRPr="00621BF1" w:rsidRDefault="0034650F">
      <w:pPr>
        <w:spacing w:after="160" w:line="259" w:lineRule="auto"/>
      </w:pPr>
    </w:p>
    <w:p w:rsidR="0034650F" w:rsidRPr="00621BF1" w:rsidRDefault="0034650F">
      <w:pPr>
        <w:spacing w:after="160" w:line="259" w:lineRule="auto"/>
      </w:pPr>
    </w:p>
    <w:p w:rsidR="0034650F" w:rsidRPr="00621BF1" w:rsidRDefault="0034650F">
      <w:pPr>
        <w:spacing w:after="160" w:line="259" w:lineRule="auto"/>
      </w:pPr>
    </w:p>
    <w:p w:rsidR="0034650F" w:rsidRPr="00621BF1" w:rsidRDefault="0034650F">
      <w:pPr>
        <w:spacing w:after="160" w:line="259" w:lineRule="auto"/>
      </w:pPr>
    </w:p>
    <w:p w:rsidR="0034650F" w:rsidRPr="00621BF1" w:rsidRDefault="0034650F">
      <w:pPr>
        <w:spacing w:after="160" w:line="259" w:lineRule="auto"/>
      </w:pPr>
    </w:p>
    <w:p w:rsidR="002A5AFB" w:rsidRPr="00621BF1" w:rsidRDefault="002A5AFB">
      <w:pPr>
        <w:spacing w:after="160" w:line="259" w:lineRule="auto"/>
        <w:rPr>
          <w:rFonts w:eastAsiaTheme="majorEastAsia" w:cstheme="majorBidi"/>
          <w:b/>
          <w:color w:val="0070C0"/>
          <w:sz w:val="24"/>
          <w:szCs w:val="32"/>
          <w:lang w:val="en-US" w:eastAsia="fr-FR"/>
        </w:rPr>
      </w:pPr>
      <w:r w:rsidRPr="00621BF1">
        <w:br w:type="page"/>
      </w:r>
    </w:p>
    <w:p w:rsidR="00431B9D" w:rsidRPr="00621BF1" w:rsidRDefault="00431B9D" w:rsidP="002A5AFB">
      <w:pPr>
        <w:pStyle w:val="Titre1"/>
        <w:numPr>
          <w:ilvl w:val="0"/>
          <w:numId w:val="0"/>
        </w:numPr>
        <w:ind w:left="432" w:hanging="432"/>
      </w:pPr>
      <w:bookmarkStart w:id="8" w:name="_Toc458593620"/>
      <w:r w:rsidRPr="00621BF1">
        <w:lastRenderedPageBreak/>
        <w:t>LISTE DES TABLEAUX ET FIGURES</w:t>
      </w:r>
      <w:bookmarkEnd w:id="7"/>
      <w:bookmarkEnd w:id="8"/>
    </w:p>
    <w:p w:rsidR="00431B9D" w:rsidRPr="00621BF1" w:rsidRDefault="00431B9D" w:rsidP="00431B9D">
      <w:pPr>
        <w:spacing w:after="160" w:line="259" w:lineRule="auto"/>
        <w:rPr>
          <w:rFonts w:cs="Arial"/>
        </w:rPr>
      </w:pPr>
    </w:p>
    <w:p w:rsidR="00431B9D" w:rsidRPr="00621BF1" w:rsidRDefault="00431B9D" w:rsidP="00431B9D">
      <w:pPr>
        <w:spacing w:after="160" w:line="259" w:lineRule="auto"/>
        <w:rPr>
          <w:rFonts w:cs="Arial"/>
          <w:b/>
        </w:rPr>
      </w:pPr>
      <w:r w:rsidRPr="00621BF1">
        <w:rPr>
          <w:rFonts w:cs="Arial"/>
          <w:b/>
        </w:rPr>
        <w:t>TABLEAUX</w:t>
      </w:r>
    </w:p>
    <w:p w:rsidR="00CA6E02" w:rsidRPr="00CA6E02" w:rsidRDefault="00B51B2E">
      <w:pPr>
        <w:pStyle w:val="Tabledesillustrations"/>
        <w:tabs>
          <w:tab w:val="right" w:leader="dot" w:pos="10070"/>
        </w:tabs>
        <w:rPr>
          <w:rFonts w:asciiTheme="minorHAnsi" w:eastAsiaTheme="minorEastAsia" w:hAnsiTheme="minorHAnsi" w:cstheme="minorBidi"/>
          <w:caps w:val="0"/>
          <w:noProof/>
          <w:sz w:val="22"/>
          <w:szCs w:val="22"/>
          <w:lang w:val="en-US" w:eastAsia="en-US"/>
        </w:rPr>
      </w:pPr>
      <w:r w:rsidRPr="00621BF1">
        <w:rPr>
          <w:rFonts w:cs="Arial"/>
          <w:szCs w:val="22"/>
        </w:rPr>
        <w:fldChar w:fldCharType="begin"/>
      </w:r>
      <w:r w:rsidR="00431B9D" w:rsidRPr="00621BF1">
        <w:rPr>
          <w:rFonts w:cs="Arial"/>
          <w:szCs w:val="22"/>
        </w:rPr>
        <w:instrText xml:space="preserve"> TOC \h \z \c "Tableau" </w:instrText>
      </w:r>
      <w:r w:rsidRPr="00621BF1">
        <w:rPr>
          <w:rFonts w:cs="Arial"/>
          <w:szCs w:val="22"/>
        </w:rPr>
        <w:fldChar w:fldCharType="separate"/>
      </w:r>
      <w:hyperlink w:anchor="_Toc456109468" w:history="1">
        <w:r w:rsidR="00CA6E02" w:rsidRPr="00CA6E02">
          <w:rPr>
            <w:rStyle w:val="Lienhypertexte"/>
            <w:rFonts w:eastAsiaTheme="majorEastAsia"/>
            <w:noProof/>
          </w:rPr>
          <w:t>Tableau 1: Calendrier vaccinal pour les enfants de 0-11 mois</w:t>
        </w:r>
        <w:r w:rsidR="00CA6E02" w:rsidRPr="00CA6E02">
          <w:rPr>
            <w:noProof/>
            <w:webHidden/>
          </w:rPr>
          <w:tab/>
        </w:r>
        <w:r w:rsidRPr="00CA6E02">
          <w:rPr>
            <w:noProof/>
            <w:webHidden/>
          </w:rPr>
          <w:fldChar w:fldCharType="begin"/>
        </w:r>
        <w:r w:rsidR="00CA6E02" w:rsidRPr="00CA6E02">
          <w:rPr>
            <w:noProof/>
            <w:webHidden/>
          </w:rPr>
          <w:instrText xml:space="preserve"> PAGEREF _Toc456109468 \h </w:instrText>
        </w:r>
        <w:r w:rsidRPr="00CA6E02">
          <w:rPr>
            <w:noProof/>
            <w:webHidden/>
          </w:rPr>
        </w:r>
        <w:r w:rsidRPr="00CA6E02">
          <w:rPr>
            <w:noProof/>
            <w:webHidden/>
          </w:rPr>
          <w:fldChar w:fldCharType="separate"/>
        </w:r>
        <w:r w:rsidR="00DC4EEF">
          <w:rPr>
            <w:noProof/>
            <w:webHidden/>
          </w:rPr>
          <w:t>21</w:t>
        </w:r>
        <w:r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69" w:history="1">
        <w:r w:rsidR="00CA6E02" w:rsidRPr="00CA6E02">
          <w:rPr>
            <w:rStyle w:val="Lienhypertexte"/>
            <w:rFonts w:eastAsiaTheme="majorEastAsia"/>
            <w:noProof/>
          </w:rPr>
          <w:t>Tableau 2: Calendrier vaccinal de routine des femmes enceintes</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_Toc456109469 \h </w:instrText>
        </w:r>
        <w:r w:rsidR="00B51B2E" w:rsidRPr="00CA6E02">
          <w:rPr>
            <w:noProof/>
            <w:webHidden/>
          </w:rPr>
        </w:r>
        <w:r w:rsidR="00B51B2E" w:rsidRPr="00CA6E02">
          <w:rPr>
            <w:noProof/>
            <w:webHidden/>
          </w:rPr>
          <w:fldChar w:fldCharType="separate"/>
        </w:r>
        <w:r w:rsidR="00DC4EEF">
          <w:rPr>
            <w:noProof/>
            <w:webHidden/>
          </w:rPr>
          <w:t>22</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0" w:history="1">
        <w:r w:rsidR="00CA6E02" w:rsidRPr="00CA6E02">
          <w:rPr>
            <w:rStyle w:val="Lienhypertexte"/>
            <w:rFonts w:eastAsiaTheme="majorEastAsia"/>
            <w:noProof/>
          </w:rPr>
          <w:t>Tableau 3: Evolution des couvertures vaccinales administratives en Guinée de 2011 à 2015</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_Toc456109470 \h </w:instrText>
        </w:r>
        <w:r w:rsidR="00B51B2E" w:rsidRPr="00CA6E02">
          <w:rPr>
            <w:noProof/>
            <w:webHidden/>
          </w:rPr>
        </w:r>
        <w:r w:rsidR="00B51B2E" w:rsidRPr="00CA6E02">
          <w:rPr>
            <w:noProof/>
            <w:webHidden/>
          </w:rPr>
          <w:fldChar w:fldCharType="separate"/>
        </w:r>
        <w:r w:rsidR="00DC4EEF">
          <w:rPr>
            <w:noProof/>
            <w:webHidden/>
          </w:rPr>
          <w:t>22</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1" w:history="1">
        <w:r w:rsidR="00CA6E02" w:rsidRPr="00CA6E02">
          <w:rPr>
            <w:rStyle w:val="Lienhypertexte"/>
            <w:rFonts w:eastAsiaTheme="majorEastAsia"/>
            <w:noProof/>
          </w:rPr>
          <w:t>Tableau 4: Evolution comparative des données administratives/officielles/estimations OMS/UNICEF</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_Toc456109471 \h </w:instrText>
        </w:r>
        <w:r w:rsidR="00B51B2E" w:rsidRPr="00CA6E02">
          <w:rPr>
            <w:noProof/>
            <w:webHidden/>
          </w:rPr>
        </w:r>
        <w:r w:rsidR="00B51B2E" w:rsidRPr="00CA6E02">
          <w:rPr>
            <w:noProof/>
            <w:webHidden/>
          </w:rPr>
          <w:fldChar w:fldCharType="separate"/>
        </w:r>
        <w:r w:rsidR="00DC4EEF">
          <w:rPr>
            <w:noProof/>
            <w:webHidden/>
          </w:rPr>
          <w:t>23</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2" w:history="1">
        <w:r w:rsidR="00CA6E02" w:rsidRPr="00CA6E02">
          <w:rPr>
            <w:rStyle w:val="Lienhypertexte"/>
            <w:rFonts w:eastAsiaTheme="majorEastAsia"/>
            <w:noProof/>
          </w:rPr>
          <w:t>Tableau 5: Indicateurs des prestations de services 2011-2015</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_Toc456109472 \h </w:instrText>
        </w:r>
        <w:r w:rsidR="00B51B2E" w:rsidRPr="00CA6E02">
          <w:rPr>
            <w:noProof/>
            <w:webHidden/>
          </w:rPr>
        </w:r>
        <w:r w:rsidR="00B51B2E" w:rsidRPr="00CA6E02">
          <w:rPr>
            <w:noProof/>
            <w:webHidden/>
          </w:rPr>
          <w:fldChar w:fldCharType="separate"/>
        </w:r>
        <w:r w:rsidR="00DC4EEF">
          <w:rPr>
            <w:b/>
            <w:bCs/>
            <w:noProof/>
            <w:webHidden/>
            <w:lang w:val="fr-FR"/>
          </w:rPr>
          <w:t>Erreur ! Signet non défini.</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3" w:history="1">
        <w:r w:rsidR="00CA6E02" w:rsidRPr="00CA6E02">
          <w:rPr>
            <w:rStyle w:val="Lienhypertexte"/>
            <w:rFonts w:eastAsiaTheme="majorEastAsia"/>
            <w:noProof/>
          </w:rPr>
          <w:t>Tableau 6: Moyenne des couvertures des JNV polio de 2011 à 2015</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_Toc456109473 \h </w:instrText>
        </w:r>
        <w:r w:rsidR="00B51B2E" w:rsidRPr="00CA6E02">
          <w:rPr>
            <w:noProof/>
            <w:webHidden/>
          </w:rPr>
        </w:r>
        <w:r w:rsidR="00B51B2E" w:rsidRPr="00CA6E02">
          <w:rPr>
            <w:noProof/>
            <w:webHidden/>
          </w:rPr>
          <w:fldChar w:fldCharType="separate"/>
        </w:r>
        <w:r w:rsidR="00DC4EEF">
          <w:rPr>
            <w:noProof/>
            <w:webHidden/>
          </w:rPr>
          <w:t>25</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4" w:history="1">
        <w:r w:rsidR="00CA6E02" w:rsidRPr="00CA6E02">
          <w:rPr>
            <w:rStyle w:val="Lienhypertexte"/>
            <w:rFonts w:eastAsiaTheme="majorEastAsia"/>
            <w:noProof/>
          </w:rPr>
          <w:t>Tableau 7: Cas de PFA positifs en 2015</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_Toc456109474 \h </w:instrText>
        </w:r>
        <w:r w:rsidR="00B51B2E" w:rsidRPr="00CA6E02">
          <w:rPr>
            <w:noProof/>
            <w:webHidden/>
          </w:rPr>
        </w:r>
        <w:r w:rsidR="00B51B2E" w:rsidRPr="00CA6E02">
          <w:rPr>
            <w:noProof/>
            <w:webHidden/>
          </w:rPr>
          <w:fldChar w:fldCharType="separate"/>
        </w:r>
        <w:r w:rsidR="00DC4EEF">
          <w:rPr>
            <w:noProof/>
            <w:webHidden/>
          </w:rPr>
          <w:t>28</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5" w:history="1">
        <w:r w:rsidR="00CA6E02" w:rsidRPr="00CA6E02">
          <w:rPr>
            <w:rStyle w:val="Lienhypertexte"/>
            <w:rFonts w:eastAsiaTheme="majorEastAsia"/>
            <w:noProof/>
          </w:rPr>
          <w:t>Tableau 8: Performance de la surveillance des PFA</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_Toc456109475 \h </w:instrText>
        </w:r>
        <w:r w:rsidR="00B51B2E" w:rsidRPr="00CA6E02">
          <w:rPr>
            <w:noProof/>
            <w:webHidden/>
          </w:rPr>
        </w:r>
        <w:r w:rsidR="00B51B2E" w:rsidRPr="00CA6E02">
          <w:rPr>
            <w:noProof/>
            <w:webHidden/>
          </w:rPr>
          <w:fldChar w:fldCharType="separate"/>
        </w:r>
        <w:r w:rsidR="00DC4EEF">
          <w:rPr>
            <w:noProof/>
            <w:webHidden/>
          </w:rPr>
          <w:t>28</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6" w:history="1">
        <w:r w:rsidR="00CA6E02" w:rsidRPr="00CA6E02">
          <w:rPr>
            <w:rStyle w:val="Lienhypertexte"/>
            <w:rFonts w:eastAsiaTheme="majorEastAsia"/>
            <w:noProof/>
          </w:rPr>
          <w:t>Tableau 9 Performance de La surveillance de la rougeole  de 2011 à 2015</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_Toc456109476 \h </w:instrText>
        </w:r>
        <w:r w:rsidR="00B51B2E" w:rsidRPr="00CA6E02">
          <w:rPr>
            <w:noProof/>
            <w:webHidden/>
          </w:rPr>
        </w:r>
        <w:r w:rsidR="00B51B2E" w:rsidRPr="00CA6E02">
          <w:rPr>
            <w:noProof/>
            <w:webHidden/>
          </w:rPr>
          <w:fldChar w:fldCharType="separate"/>
        </w:r>
        <w:r w:rsidR="00DC4EEF">
          <w:rPr>
            <w:noProof/>
            <w:webHidden/>
          </w:rPr>
          <w:t>29</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7" w:history="1">
        <w:r w:rsidR="00CA6E02" w:rsidRPr="00CA6E02">
          <w:rPr>
            <w:rStyle w:val="Lienhypertexte"/>
            <w:rFonts w:eastAsiaTheme="majorEastAsia"/>
            <w:noProof/>
          </w:rPr>
          <w:t>Tableau 10: Capacité de stockage requise en positif au niveau central (litres)</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_Toc456109477 \h </w:instrText>
        </w:r>
        <w:r w:rsidR="00B51B2E" w:rsidRPr="00CA6E02">
          <w:rPr>
            <w:noProof/>
            <w:webHidden/>
          </w:rPr>
        </w:r>
        <w:r w:rsidR="00B51B2E" w:rsidRPr="00CA6E02">
          <w:rPr>
            <w:noProof/>
            <w:webHidden/>
          </w:rPr>
          <w:fldChar w:fldCharType="separate"/>
        </w:r>
        <w:r w:rsidR="00DC4EEF">
          <w:rPr>
            <w:noProof/>
            <w:webHidden/>
          </w:rPr>
          <w:t>32</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8" w:history="1">
        <w:r w:rsidR="00CA6E02" w:rsidRPr="00CA6E02">
          <w:rPr>
            <w:rStyle w:val="Lienhypertexte"/>
            <w:rFonts w:eastAsiaTheme="majorEastAsia"/>
            <w:noProof/>
          </w:rPr>
          <w:t>Tableau 11: Capacité de stockage requise en négatif au niveau central (litres)</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_Toc456109478 \h </w:instrText>
        </w:r>
        <w:r w:rsidR="00B51B2E" w:rsidRPr="00CA6E02">
          <w:rPr>
            <w:noProof/>
            <w:webHidden/>
          </w:rPr>
        </w:r>
        <w:r w:rsidR="00B51B2E" w:rsidRPr="00CA6E02">
          <w:rPr>
            <w:noProof/>
            <w:webHidden/>
          </w:rPr>
          <w:fldChar w:fldCharType="separate"/>
        </w:r>
        <w:r w:rsidR="00DC4EEF">
          <w:rPr>
            <w:noProof/>
            <w:webHidden/>
          </w:rPr>
          <w:t>33</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79" w:history="1">
        <w:r w:rsidR="00CA6E02" w:rsidRPr="00CA6E02">
          <w:rPr>
            <w:rStyle w:val="Lienhypertexte"/>
            <w:rFonts w:eastAsiaTheme="majorEastAsia"/>
            <w:noProof/>
          </w:rPr>
          <w:t>Tableau 12: Capacité de stockage requise en réfrigération au niveau central (litres)</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_Toc456109479 \h </w:instrText>
        </w:r>
        <w:r w:rsidR="00B51B2E" w:rsidRPr="00CA6E02">
          <w:rPr>
            <w:noProof/>
            <w:webHidden/>
          </w:rPr>
        </w:r>
        <w:r w:rsidR="00B51B2E" w:rsidRPr="00CA6E02">
          <w:rPr>
            <w:noProof/>
            <w:webHidden/>
          </w:rPr>
          <w:fldChar w:fldCharType="separate"/>
        </w:r>
        <w:r w:rsidR="00DC4EEF">
          <w:rPr>
            <w:noProof/>
            <w:webHidden/>
          </w:rPr>
          <w:t>34</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0" w:history="1">
        <w:r w:rsidR="00CA6E02" w:rsidRPr="00CA6E02">
          <w:rPr>
            <w:rStyle w:val="Lienhypertexte"/>
            <w:rFonts w:eastAsiaTheme="majorEastAsia"/>
            <w:noProof/>
          </w:rPr>
          <w:t>Tableau 13: Capacité additionnelle de stockage requise en réfrigération au niveau régional (litres)</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_Toc456109480 \h </w:instrText>
        </w:r>
        <w:r w:rsidR="00B51B2E" w:rsidRPr="00CA6E02">
          <w:rPr>
            <w:noProof/>
            <w:webHidden/>
          </w:rPr>
        </w:r>
        <w:r w:rsidR="00B51B2E" w:rsidRPr="00CA6E02">
          <w:rPr>
            <w:noProof/>
            <w:webHidden/>
          </w:rPr>
          <w:fldChar w:fldCharType="separate"/>
        </w:r>
        <w:r w:rsidR="00DC4EEF">
          <w:rPr>
            <w:noProof/>
            <w:webHidden/>
          </w:rPr>
          <w:t>35</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1" w:history="1">
        <w:r w:rsidR="00CA6E02" w:rsidRPr="00CA6E02">
          <w:rPr>
            <w:rStyle w:val="Lienhypertexte"/>
            <w:rFonts w:eastAsiaTheme="majorEastAsia"/>
            <w:noProof/>
          </w:rPr>
          <w:t>Tableau 14: Besoins en équipements de réfrigération par région de 2016 à 2021</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_Toc456109481 \h </w:instrText>
        </w:r>
        <w:r w:rsidR="00B51B2E" w:rsidRPr="00CA6E02">
          <w:rPr>
            <w:noProof/>
            <w:webHidden/>
          </w:rPr>
        </w:r>
        <w:r w:rsidR="00B51B2E" w:rsidRPr="00CA6E02">
          <w:rPr>
            <w:noProof/>
            <w:webHidden/>
          </w:rPr>
          <w:fldChar w:fldCharType="separate"/>
        </w:r>
        <w:r w:rsidR="00DC4EEF">
          <w:rPr>
            <w:noProof/>
            <w:webHidden/>
          </w:rPr>
          <w:t>36</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2" w:history="1">
        <w:r w:rsidR="00CA6E02" w:rsidRPr="00CA6E02">
          <w:rPr>
            <w:rStyle w:val="Lienhypertexte"/>
            <w:rFonts w:eastAsiaTheme="majorEastAsia"/>
            <w:noProof/>
          </w:rPr>
          <w:t>Tableau 15: Capacité additionnelle de stockage en congélation au niveau régional (litres) de 2016 à 2021</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_Toc456109482 \h </w:instrText>
        </w:r>
        <w:r w:rsidR="00B51B2E" w:rsidRPr="00CA6E02">
          <w:rPr>
            <w:noProof/>
            <w:webHidden/>
          </w:rPr>
        </w:r>
        <w:r w:rsidR="00B51B2E" w:rsidRPr="00CA6E02">
          <w:rPr>
            <w:noProof/>
            <w:webHidden/>
          </w:rPr>
          <w:fldChar w:fldCharType="separate"/>
        </w:r>
        <w:r w:rsidR="00DC4EEF">
          <w:rPr>
            <w:noProof/>
            <w:webHidden/>
          </w:rPr>
          <w:t>36</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3" w:history="1">
        <w:r w:rsidR="00CA6E02" w:rsidRPr="00CA6E02">
          <w:rPr>
            <w:rStyle w:val="Lienhypertexte"/>
            <w:rFonts w:eastAsiaTheme="majorEastAsia"/>
            <w:noProof/>
          </w:rPr>
          <w:t>Tableau 16: Besoins en équipements de congélation au niveau régional par année</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_Toc456109483 \h </w:instrText>
        </w:r>
        <w:r w:rsidR="00B51B2E" w:rsidRPr="00CA6E02">
          <w:rPr>
            <w:noProof/>
            <w:webHidden/>
          </w:rPr>
        </w:r>
        <w:r w:rsidR="00B51B2E" w:rsidRPr="00CA6E02">
          <w:rPr>
            <w:noProof/>
            <w:webHidden/>
          </w:rPr>
          <w:fldChar w:fldCharType="separate"/>
        </w:r>
        <w:r w:rsidR="00DC4EEF">
          <w:rPr>
            <w:noProof/>
            <w:webHidden/>
          </w:rPr>
          <w:t>37</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4" w:history="1">
        <w:r w:rsidR="00CA6E02" w:rsidRPr="00CA6E02">
          <w:rPr>
            <w:rStyle w:val="Lienhypertexte"/>
            <w:rFonts w:eastAsiaTheme="majorEastAsia"/>
            <w:noProof/>
          </w:rPr>
          <w:t>Tableau 17: Capacité additionnelle de CdF avec les capacités existantes (litres)</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_Toc456109484 \h </w:instrText>
        </w:r>
        <w:r w:rsidR="00B51B2E" w:rsidRPr="00CA6E02">
          <w:rPr>
            <w:noProof/>
            <w:webHidden/>
          </w:rPr>
        </w:r>
        <w:r w:rsidR="00B51B2E" w:rsidRPr="00CA6E02">
          <w:rPr>
            <w:noProof/>
            <w:webHidden/>
          </w:rPr>
          <w:fldChar w:fldCharType="separate"/>
        </w:r>
        <w:r w:rsidR="00DC4EEF">
          <w:rPr>
            <w:noProof/>
            <w:webHidden/>
          </w:rPr>
          <w:t>39</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5" w:history="1">
        <w:r w:rsidR="00CA6E02" w:rsidRPr="00CA6E02">
          <w:rPr>
            <w:rStyle w:val="Lienhypertexte"/>
            <w:rFonts w:eastAsiaTheme="majorEastAsia"/>
            <w:noProof/>
          </w:rPr>
          <w:t>Tableau 18: Nombre et types d’équipements requis de réfrigération</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_Toc456109485 \h </w:instrText>
        </w:r>
        <w:r w:rsidR="00B51B2E" w:rsidRPr="00CA6E02">
          <w:rPr>
            <w:noProof/>
            <w:webHidden/>
          </w:rPr>
        </w:r>
        <w:r w:rsidR="00B51B2E" w:rsidRPr="00CA6E02">
          <w:rPr>
            <w:noProof/>
            <w:webHidden/>
          </w:rPr>
          <w:fldChar w:fldCharType="separate"/>
        </w:r>
        <w:r w:rsidR="00DC4EEF">
          <w:rPr>
            <w:noProof/>
            <w:webHidden/>
          </w:rPr>
          <w:t>40</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6" w:history="1">
        <w:r w:rsidR="00CA6E02" w:rsidRPr="00CA6E02">
          <w:rPr>
            <w:rStyle w:val="Lienhypertexte"/>
            <w:rFonts w:eastAsiaTheme="majorEastAsia"/>
            <w:noProof/>
          </w:rPr>
          <w:t>Tableau 19: Nombre d’équipements à remplacer au niveau centre de sante de 2017 à 2021</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_Toc456109486 \h </w:instrText>
        </w:r>
        <w:r w:rsidR="00B51B2E" w:rsidRPr="00CA6E02">
          <w:rPr>
            <w:noProof/>
            <w:webHidden/>
          </w:rPr>
        </w:r>
        <w:r w:rsidR="00B51B2E" w:rsidRPr="00CA6E02">
          <w:rPr>
            <w:noProof/>
            <w:webHidden/>
          </w:rPr>
          <w:fldChar w:fldCharType="separate"/>
        </w:r>
        <w:r w:rsidR="00DC4EEF">
          <w:rPr>
            <w:noProof/>
            <w:webHidden/>
          </w:rPr>
          <w:t>41</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7" w:history="1">
        <w:r w:rsidR="00CA6E02" w:rsidRPr="00CA6E02">
          <w:rPr>
            <w:rStyle w:val="Lienhypertexte"/>
            <w:rFonts w:eastAsiaTheme="majorEastAsia"/>
            <w:noProof/>
          </w:rPr>
          <w:t>Tableau 20: Résultats globaux de l’évaluation de la Gestion Efficace des Vaccins en Guinée</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_Toc456109487 \h </w:instrText>
        </w:r>
        <w:r w:rsidR="00B51B2E" w:rsidRPr="00CA6E02">
          <w:rPr>
            <w:noProof/>
            <w:webHidden/>
          </w:rPr>
        </w:r>
        <w:r w:rsidR="00B51B2E" w:rsidRPr="00CA6E02">
          <w:rPr>
            <w:noProof/>
            <w:webHidden/>
          </w:rPr>
          <w:fldChar w:fldCharType="separate"/>
        </w:r>
        <w:r w:rsidR="00DC4EEF">
          <w:rPr>
            <w:noProof/>
            <w:webHidden/>
          </w:rPr>
          <w:t>42</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8" w:history="1">
        <w:r w:rsidR="00CA6E02" w:rsidRPr="00CA6E02">
          <w:rPr>
            <w:rStyle w:val="Lienhypertexte"/>
            <w:rFonts w:eastAsiaTheme="majorEastAsia"/>
            <w:noProof/>
          </w:rPr>
          <w:t>Tableau 21: Synthèse de l’analyse des forces et faibles par composantes du PEV</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_Toc456109488 \h </w:instrText>
        </w:r>
        <w:r w:rsidR="00B51B2E" w:rsidRPr="00CA6E02">
          <w:rPr>
            <w:noProof/>
            <w:webHidden/>
          </w:rPr>
        </w:r>
        <w:r w:rsidR="00B51B2E" w:rsidRPr="00CA6E02">
          <w:rPr>
            <w:noProof/>
            <w:webHidden/>
          </w:rPr>
          <w:fldChar w:fldCharType="separate"/>
        </w:r>
        <w:r w:rsidR="00DC4EEF">
          <w:rPr>
            <w:noProof/>
            <w:webHidden/>
          </w:rPr>
          <w:t>51</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89" w:history="1">
        <w:r w:rsidR="00CA6E02" w:rsidRPr="00CA6E02">
          <w:rPr>
            <w:rStyle w:val="Lienhypertexte"/>
            <w:rFonts w:eastAsiaTheme="majorEastAsia"/>
            <w:noProof/>
          </w:rPr>
          <w:t>Tableau 22: Analyse des opportunités et menaces</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_Toc456109489 \h </w:instrText>
        </w:r>
        <w:r w:rsidR="00B51B2E" w:rsidRPr="00CA6E02">
          <w:rPr>
            <w:noProof/>
            <w:webHidden/>
          </w:rPr>
        </w:r>
        <w:r w:rsidR="00B51B2E" w:rsidRPr="00CA6E02">
          <w:rPr>
            <w:noProof/>
            <w:webHidden/>
          </w:rPr>
          <w:fldChar w:fldCharType="separate"/>
        </w:r>
        <w:r w:rsidR="00DC4EEF">
          <w:rPr>
            <w:noProof/>
            <w:webHidden/>
          </w:rPr>
          <w:t>55</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0" w:history="1">
        <w:r w:rsidR="00CA6E02" w:rsidRPr="00CA6E02">
          <w:rPr>
            <w:rStyle w:val="Lienhypertexte"/>
            <w:rFonts w:eastAsiaTheme="majorEastAsia"/>
            <w:noProof/>
          </w:rPr>
          <w:t>Tableau 23: Projection de couverture vaccinale en vaccins de 2016 à 2020</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_Toc456109490 \h </w:instrText>
        </w:r>
        <w:r w:rsidR="00B51B2E" w:rsidRPr="00CA6E02">
          <w:rPr>
            <w:noProof/>
            <w:webHidden/>
          </w:rPr>
        </w:r>
        <w:r w:rsidR="00B51B2E" w:rsidRPr="00CA6E02">
          <w:rPr>
            <w:noProof/>
            <w:webHidden/>
          </w:rPr>
          <w:fldChar w:fldCharType="separate"/>
        </w:r>
        <w:r w:rsidR="00DC4EEF">
          <w:rPr>
            <w:noProof/>
            <w:webHidden/>
          </w:rPr>
          <w:t>58</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1" w:history="1">
        <w:r w:rsidR="00CA6E02" w:rsidRPr="00CA6E02">
          <w:rPr>
            <w:rStyle w:val="Lienhypertexte"/>
            <w:rFonts w:eastAsiaTheme="majorEastAsia"/>
            <w:noProof/>
          </w:rPr>
          <w:t>Tableau 24: Objectifs de taux de pertes par antigène de 2016 à 2020</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_Toc456109491 \h </w:instrText>
        </w:r>
        <w:r w:rsidR="00B51B2E" w:rsidRPr="00CA6E02">
          <w:rPr>
            <w:noProof/>
            <w:webHidden/>
          </w:rPr>
        </w:r>
        <w:r w:rsidR="00B51B2E" w:rsidRPr="00CA6E02">
          <w:rPr>
            <w:noProof/>
            <w:webHidden/>
          </w:rPr>
          <w:fldChar w:fldCharType="separate"/>
        </w:r>
        <w:r w:rsidR="00DC4EEF">
          <w:rPr>
            <w:noProof/>
            <w:webHidden/>
          </w:rPr>
          <w:t>59</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2" w:history="1">
        <w:r w:rsidR="00CA6E02" w:rsidRPr="00CA6E02">
          <w:rPr>
            <w:rStyle w:val="Lienhypertexte"/>
            <w:rFonts w:eastAsiaTheme="majorEastAsia"/>
            <w:noProof/>
          </w:rPr>
          <w:t>Tableau 25: Projection de couverture vaccinale pour les nouveaux introduits de 2016 à 2020</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_Toc456109492 \h </w:instrText>
        </w:r>
        <w:r w:rsidR="00B51B2E" w:rsidRPr="00CA6E02">
          <w:rPr>
            <w:noProof/>
            <w:webHidden/>
          </w:rPr>
        </w:r>
        <w:r w:rsidR="00B51B2E" w:rsidRPr="00CA6E02">
          <w:rPr>
            <w:noProof/>
            <w:webHidden/>
          </w:rPr>
          <w:fldChar w:fldCharType="separate"/>
        </w:r>
        <w:r w:rsidR="00DC4EEF">
          <w:rPr>
            <w:noProof/>
            <w:webHidden/>
          </w:rPr>
          <w:t>59</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3" w:history="1">
        <w:r w:rsidR="00CA6E02" w:rsidRPr="00CA6E02">
          <w:rPr>
            <w:rStyle w:val="Lienhypertexte"/>
            <w:rFonts w:eastAsiaTheme="majorEastAsia"/>
            <w:noProof/>
          </w:rPr>
          <w:t>Tableau 26: Matrices des indicateurs de suivi du PPAC 2016-2020</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_Toc456109493 \h </w:instrText>
        </w:r>
        <w:r w:rsidR="00B51B2E" w:rsidRPr="00CA6E02">
          <w:rPr>
            <w:noProof/>
            <w:webHidden/>
          </w:rPr>
        </w:r>
        <w:r w:rsidR="00B51B2E" w:rsidRPr="00CA6E02">
          <w:rPr>
            <w:noProof/>
            <w:webHidden/>
          </w:rPr>
          <w:fldChar w:fldCharType="separate"/>
        </w:r>
        <w:r w:rsidR="00DC4EEF">
          <w:rPr>
            <w:noProof/>
            <w:webHidden/>
          </w:rPr>
          <w:t>94</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4" w:history="1">
        <w:r w:rsidR="00CA6E02" w:rsidRPr="00CA6E02">
          <w:rPr>
            <w:rStyle w:val="Lienhypertexte"/>
            <w:rFonts w:eastAsiaTheme="majorEastAsia"/>
            <w:noProof/>
          </w:rPr>
          <w:t>Tableau 27: Composition du coût de l’année de base 2015</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_Toc456109494 \h </w:instrText>
        </w:r>
        <w:r w:rsidR="00B51B2E" w:rsidRPr="00CA6E02">
          <w:rPr>
            <w:noProof/>
            <w:webHidden/>
          </w:rPr>
        </w:r>
        <w:r w:rsidR="00B51B2E" w:rsidRPr="00CA6E02">
          <w:rPr>
            <w:noProof/>
            <w:webHidden/>
          </w:rPr>
          <w:fldChar w:fldCharType="separate"/>
        </w:r>
        <w:r w:rsidR="00DC4EEF">
          <w:rPr>
            <w:noProof/>
            <w:webHidden/>
          </w:rPr>
          <w:t>104</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5" w:history="1">
        <w:r w:rsidR="00CA6E02" w:rsidRPr="00CA6E02">
          <w:rPr>
            <w:rStyle w:val="Lienhypertexte"/>
            <w:rFonts w:eastAsiaTheme="majorEastAsia"/>
            <w:noProof/>
          </w:rPr>
          <w:t>Tableau 28: Indicateurs de base</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_Toc456109495 \h </w:instrText>
        </w:r>
        <w:r w:rsidR="00B51B2E" w:rsidRPr="00CA6E02">
          <w:rPr>
            <w:noProof/>
            <w:webHidden/>
          </w:rPr>
        </w:r>
        <w:r w:rsidR="00B51B2E" w:rsidRPr="00CA6E02">
          <w:rPr>
            <w:noProof/>
            <w:webHidden/>
          </w:rPr>
          <w:fldChar w:fldCharType="separate"/>
        </w:r>
        <w:r w:rsidR="00DC4EEF">
          <w:rPr>
            <w:noProof/>
            <w:webHidden/>
          </w:rPr>
          <w:t>105</w:t>
        </w:r>
        <w:r w:rsidR="00B51B2E" w:rsidRPr="00CA6E02">
          <w:rPr>
            <w:noProof/>
            <w:webHidden/>
          </w:rPr>
          <w:fldChar w:fldCharType="end"/>
        </w:r>
      </w:hyperlink>
    </w:p>
    <w:p w:rsidR="00CA6E02" w:rsidRP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6" w:history="1">
        <w:r w:rsidR="00CA6E02" w:rsidRPr="00CA6E02">
          <w:rPr>
            <w:rStyle w:val="Lienhypertexte"/>
            <w:rFonts w:eastAsiaTheme="majorEastAsia"/>
            <w:noProof/>
          </w:rPr>
          <w:t>Tableau 29: Projection des besoins en ressources pour le PPAc 2016-2020</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_Toc456109496 \h </w:instrText>
        </w:r>
        <w:r w:rsidR="00B51B2E" w:rsidRPr="00CA6E02">
          <w:rPr>
            <w:noProof/>
            <w:webHidden/>
          </w:rPr>
        </w:r>
        <w:r w:rsidR="00B51B2E" w:rsidRPr="00CA6E02">
          <w:rPr>
            <w:noProof/>
            <w:webHidden/>
          </w:rPr>
          <w:fldChar w:fldCharType="separate"/>
        </w:r>
        <w:r w:rsidR="00DC4EEF">
          <w:rPr>
            <w:noProof/>
            <w:webHidden/>
          </w:rPr>
          <w:t>106</w:t>
        </w:r>
        <w:r w:rsidR="00B51B2E" w:rsidRPr="00CA6E02">
          <w:rPr>
            <w:noProof/>
            <w:webHidden/>
          </w:rPr>
          <w:fldChar w:fldCharType="end"/>
        </w:r>
      </w:hyperlink>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7" w:history="1">
        <w:r w:rsidR="00CA6E02" w:rsidRPr="00CA6E02">
          <w:rPr>
            <w:rStyle w:val="Lienhypertexte"/>
            <w:rFonts w:eastAsiaTheme="majorEastAsia"/>
            <w:noProof/>
          </w:rPr>
          <w:t>Tableau 30: Détermination des écarts de financements</w:t>
        </w:r>
        <w:r w:rsidR="00CA6E02" w:rsidRPr="00CA6E02">
          <w:rPr>
            <w:noProof/>
            <w:webHidden/>
          </w:rPr>
          <w:tab/>
        </w:r>
        <w:r w:rsidR="00B51B2E" w:rsidRPr="00CA6E02">
          <w:rPr>
            <w:noProof/>
            <w:webHidden/>
          </w:rPr>
          <w:fldChar w:fldCharType="begin"/>
        </w:r>
        <w:r w:rsidR="00CA6E02" w:rsidRPr="00CA6E02">
          <w:rPr>
            <w:noProof/>
            <w:webHidden/>
          </w:rPr>
          <w:instrText xml:space="preserve"> PAGEREF _Toc456109497 \h </w:instrText>
        </w:r>
        <w:r w:rsidR="00B51B2E" w:rsidRPr="00CA6E02">
          <w:rPr>
            <w:noProof/>
            <w:webHidden/>
          </w:rPr>
        </w:r>
        <w:r w:rsidR="00B51B2E" w:rsidRPr="00CA6E02">
          <w:rPr>
            <w:noProof/>
            <w:webHidden/>
          </w:rPr>
          <w:fldChar w:fldCharType="separate"/>
        </w:r>
        <w:r w:rsidR="00DC4EEF">
          <w:rPr>
            <w:noProof/>
            <w:webHidden/>
          </w:rPr>
          <w:t>107</w:t>
        </w:r>
        <w:r w:rsidR="00B51B2E" w:rsidRPr="00CA6E02">
          <w:rPr>
            <w:noProof/>
            <w:webHidden/>
          </w:rPr>
          <w:fldChar w:fldCharType="end"/>
        </w:r>
      </w:hyperlink>
    </w:p>
    <w:p w:rsidR="00431B9D" w:rsidRPr="00621BF1" w:rsidRDefault="00B51B2E" w:rsidP="001B3577">
      <w:pPr>
        <w:pStyle w:val="Lgende"/>
      </w:pPr>
      <w:r w:rsidRPr="00621BF1">
        <w:fldChar w:fldCharType="end"/>
      </w:r>
    </w:p>
    <w:p w:rsidR="00CA6E02" w:rsidRDefault="00431B9D" w:rsidP="00431B9D">
      <w:pPr>
        <w:spacing w:after="160" w:line="259" w:lineRule="auto"/>
        <w:rPr>
          <w:noProof/>
        </w:rPr>
      </w:pPr>
      <w:r w:rsidRPr="00621BF1">
        <w:rPr>
          <w:rFonts w:cs="Arial"/>
          <w:b/>
        </w:rPr>
        <w:t>FIGURES</w:t>
      </w:r>
      <w:r w:rsidR="00B51B2E" w:rsidRPr="00621BF1">
        <w:rPr>
          <w:rFonts w:cs="Arial"/>
          <w:b/>
        </w:rPr>
        <w:fldChar w:fldCharType="begin"/>
      </w:r>
      <w:r w:rsidRPr="00621BF1">
        <w:rPr>
          <w:rFonts w:cs="Arial"/>
          <w:b/>
        </w:rPr>
        <w:instrText xml:space="preserve"> TOC \h \z \c "Figure" </w:instrText>
      </w:r>
      <w:r w:rsidR="00B51B2E" w:rsidRPr="00621BF1">
        <w:rPr>
          <w:rFonts w:cs="Arial"/>
          <w:b/>
        </w:rPr>
        <w:fldChar w:fldCharType="separate"/>
      </w:r>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8" w:history="1">
        <w:r w:rsidR="00CA6E02" w:rsidRPr="004D7BC7">
          <w:rPr>
            <w:rStyle w:val="Lienhypertexte"/>
            <w:rFonts w:eastAsiaTheme="majorEastAsia"/>
            <w:noProof/>
          </w:rPr>
          <w:t>Figure 1: Carte administrative de la Guinée</w:t>
        </w:r>
        <w:r w:rsidR="00CA6E02">
          <w:rPr>
            <w:noProof/>
            <w:webHidden/>
          </w:rPr>
          <w:tab/>
        </w:r>
        <w:r w:rsidR="00B51B2E">
          <w:rPr>
            <w:noProof/>
            <w:webHidden/>
          </w:rPr>
          <w:fldChar w:fldCharType="begin"/>
        </w:r>
        <w:r w:rsidR="00CA6E02">
          <w:rPr>
            <w:noProof/>
            <w:webHidden/>
          </w:rPr>
          <w:instrText xml:space="preserve"> PAGEREF _Toc456109498 \h </w:instrText>
        </w:r>
        <w:r w:rsidR="00B51B2E">
          <w:rPr>
            <w:noProof/>
            <w:webHidden/>
          </w:rPr>
        </w:r>
        <w:r w:rsidR="00B51B2E">
          <w:rPr>
            <w:noProof/>
            <w:webHidden/>
          </w:rPr>
          <w:fldChar w:fldCharType="separate"/>
        </w:r>
        <w:r w:rsidR="00DC4EEF">
          <w:rPr>
            <w:noProof/>
            <w:webHidden/>
          </w:rPr>
          <w:t>16</w:t>
        </w:r>
        <w:r w:rsidR="00B51B2E">
          <w:rPr>
            <w:noProof/>
            <w:webHidden/>
          </w:rPr>
          <w:fldChar w:fldCharType="end"/>
        </w:r>
      </w:hyperlink>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499" w:history="1">
        <w:r w:rsidR="00CA6E02" w:rsidRPr="004D7BC7">
          <w:rPr>
            <w:rStyle w:val="Lienhypertexte"/>
            <w:rFonts w:eastAsiaTheme="majorEastAsia"/>
            <w:noProof/>
          </w:rPr>
          <w:t>Figure 2: Organisation du système de sante Guinéen</w:t>
        </w:r>
        <w:r w:rsidR="00CA6E02">
          <w:rPr>
            <w:noProof/>
            <w:webHidden/>
          </w:rPr>
          <w:tab/>
        </w:r>
        <w:r w:rsidR="00B51B2E">
          <w:rPr>
            <w:noProof/>
            <w:webHidden/>
          </w:rPr>
          <w:fldChar w:fldCharType="begin"/>
        </w:r>
        <w:r w:rsidR="00CA6E02">
          <w:rPr>
            <w:noProof/>
            <w:webHidden/>
          </w:rPr>
          <w:instrText xml:space="preserve"> PAGEREF _Toc456109499 \h </w:instrText>
        </w:r>
        <w:r w:rsidR="00B51B2E">
          <w:rPr>
            <w:noProof/>
            <w:webHidden/>
          </w:rPr>
        </w:r>
        <w:r w:rsidR="00B51B2E">
          <w:rPr>
            <w:noProof/>
            <w:webHidden/>
          </w:rPr>
          <w:fldChar w:fldCharType="separate"/>
        </w:r>
        <w:r w:rsidR="00DC4EEF">
          <w:rPr>
            <w:noProof/>
            <w:webHidden/>
          </w:rPr>
          <w:t>18</w:t>
        </w:r>
        <w:r w:rsidR="00B51B2E">
          <w:rPr>
            <w:noProof/>
            <w:webHidden/>
          </w:rPr>
          <w:fldChar w:fldCharType="end"/>
        </w:r>
      </w:hyperlink>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500" w:history="1">
        <w:r w:rsidR="00CA6E02" w:rsidRPr="004D7BC7">
          <w:rPr>
            <w:rStyle w:val="Lienhypertexte"/>
            <w:rFonts w:eastAsiaTheme="majorEastAsia"/>
            <w:noProof/>
          </w:rPr>
          <w:t>Figure 3: Pyramide sanitaire de la République de Guinée</w:t>
        </w:r>
        <w:r w:rsidR="00CA6E02">
          <w:rPr>
            <w:noProof/>
            <w:webHidden/>
          </w:rPr>
          <w:tab/>
        </w:r>
        <w:r w:rsidR="00B51B2E">
          <w:rPr>
            <w:noProof/>
            <w:webHidden/>
          </w:rPr>
          <w:fldChar w:fldCharType="begin"/>
        </w:r>
        <w:r w:rsidR="00CA6E02">
          <w:rPr>
            <w:noProof/>
            <w:webHidden/>
          </w:rPr>
          <w:instrText xml:space="preserve"> PAGEREF _Toc456109500 \h </w:instrText>
        </w:r>
        <w:r w:rsidR="00B51B2E">
          <w:rPr>
            <w:noProof/>
            <w:webHidden/>
          </w:rPr>
        </w:r>
        <w:r w:rsidR="00B51B2E">
          <w:rPr>
            <w:noProof/>
            <w:webHidden/>
          </w:rPr>
          <w:fldChar w:fldCharType="separate"/>
        </w:r>
        <w:r w:rsidR="00DC4EEF">
          <w:rPr>
            <w:noProof/>
            <w:webHidden/>
          </w:rPr>
          <w:t>18</w:t>
        </w:r>
        <w:r w:rsidR="00B51B2E">
          <w:rPr>
            <w:noProof/>
            <w:webHidden/>
          </w:rPr>
          <w:fldChar w:fldCharType="end"/>
        </w:r>
      </w:hyperlink>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501" w:history="1">
        <w:r w:rsidR="00CA6E02" w:rsidRPr="004D7BC7">
          <w:rPr>
            <w:rStyle w:val="Lienhypertexte"/>
            <w:rFonts w:eastAsiaTheme="majorEastAsia"/>
            <w:noProof/>
          </w:rPr>
          <w:t>Figure 4: Evolution de la part du budget de la santé dans le BND entre 2010 et 2015, Guinée</w:t>
        </w:r>
        <w:r w:rsidR="00CA6E02">
          <w:rPr>
            <w:noProof/>
            <w:webHidden/>
          </w:rPr>
          <w:tab/>
        </w:r>
        <w:r w:rsidR="00B51B2E">
          <w:rPr>
            <w:noProof/>
            <w:webHidden/>
          </w:rPr>
          <w:fldChar w:fldCharType="begin"/>
        </w:r>
        <w:r w:rsidR="00CA6E02">
          <w:rPr>
            <w:noProof/>
            <w:webHidden/>
          </w:rPr>
          <w:instrText xml:space="preserve"> PAGEREF _Toc456109501 \h </w:instrText>
        </w:r>
        <w:r w:rsidR="00B51B2E">
          <w:rPr>
            <w:noProof/>
            <w:webHidden/>
          </w:rPr>
        </w:r>
        <w:r w:rsidR="00B51B2E">
          <w:rPr>
            <w:noProof/>
            <w:webHidden/>
          </w:rPr>
          <w:fldChar w:fldCharType="separate"/>
        </w:r>
        <w:r w:rsidR="00DC4EEF">
          <w:rPr>
            <w:noProof/>
            <w:webHidden/>
          </w:rPr>
          <w:t>20</w:t>
        </w:r>
        <w:r w:rsidR="00B51B2E">
          <w:rPr>
            <w:noProof/>
            <w:webHidden/>
          </w:rPr>
          <w:fldChar w:fldCharType="end"/>
        </w:r>
      </w:hyperlink>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502" w:history="1">
        <w:r w:rsidR="00CA6E02" w:rsidRPr="004D7BC7">
          <w:rPr>
            <w:rStyle w:val="Lienhypertexte"/>
            <w:rFonts w:eastAsiaTheme="majorEastAsia"/>
            <w:noProof/>
          </w:rPr>
          <w:t>Figure 5: Analyse capacité de stockage positive du niveau central jusqu’en 2021</w:t>
        </w:r>
        <w:r w:rsidR="00CA6E02">
          <w:rPr>
            <w:noProof/>
            <w:webHidden/>
          </w:rPr>
          <w:tab/>
        </w:r>
        <w:r w:rsidR="00B51B2E">
          <w:rPr>
            <w:noProof/>
            <w:webHidden/>
          </w:rPr>
          <w:fldChar w:fldCharType="begin"/>
        </w:r>
        <w:r w:rsidR="00CA6E02">
          <w:rPr>
            <w:noProof/>
            <w:webHidden/>
          </w:rPr>
          <w:instrText xml:space="preserve"> PAGEREF _Toc456109502 \h </w:instrText>
        </w:r>
        <w:r w:rsidR="00B51B2E">
          <w:rPr>
            <w:noProof/>
            <w:webHidden/>
          </w:rPr>
        </w:r>
        <w:r w:rsidR="00B51B2E">
          <w:rPr>
            <w:noProof/>
            <w:webHidden/>
          </w:rPr>
          <w:fldChar w:fldCharType="separate"/>
        </w:r>
        <w:r w:rsidR="00DC4EEF">
          <w:rPr>
            <w:noProof/>
            <w:webHidden/>
          </w:rPr>
          <w:t>33</w:t>
        </w:r>
        <w:r w:rsidR="00B51B2E">
          <w:rPr>
            <w:noProof/>
            <w:webHidden/>
          </w:rPr>
          <w:fldChar w:fldCharType="end"/>
        </w:r>
      </w:hyperlink>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503" w:history="1">
        <w:r w:rsidR="00CA6E02" w:rsidRPr="004D7BC7">
          <w:rPr>
            <w:rStyle w:val="Lienhypertexte"/>
            <w:rFonts w:eastAsiaTheme="majorEastAsia"/>
            <w:noProof/>
          </w:rPr>
          <w:t>Figure 6 : Analyse capacité de stockage chambres froides positives du niveau central jusqu’en 2021</w:t>
        </w:r>
        <w:r w:rsidR="00CA6E02">
          <w:rPr>
            <w:noProof/>
            <w:webHidden/>
          </w:rPr>
          <w:tab/>
        </w:r>
        <w:r w:rsidR="00B51B2E">
          <w:rPr>
            <w:noProof/>
            <w:webHidden/>
          </w:rPr>
          <w:fldChar w:fldCharType="begin"/>
        </w:r>
        <w:r w:rsidR="00CA6E02">
          <w:rPr>
            <w:noProof/>
            <w:webHidden/>
          </w:rPr>
          <w:instrText xml:space="preserve"> PAGEREF _Toc456109503 \h </w:instrText>
        </w:r>
        <w:r w:rsidR="00B51B2E">
          <w:rPr>
            <w:noProof/>
            <w:webHidden/>
          </w:rPr>
        </w:r>
        <w:r w:rsidR="00B51B2E">
          <w:rPr>
            <w:noProof/>
            <w:webHidden/>
          </w:rPr>
          <w:fldChar w:fldCharType="separate"/>
        </w:r>
        <w:r w:rsidR="00DC4EEF">
          <w:rPr>
            <w:noProof/>
            <w:webHidden/>
          </w:rPr>
          <w:t>34</w:t>
        </w:r>
        <w:r w:rsidR="00B51B2E">
          <w:rPr>
            <w:noProof/>
            <w:webHidden/>
          </w:rPr>
          <w:fldChar w:fldCharType="end"/>
        </w:r>
      </w:hyperlink>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504" w:history="1">
        <w:r w:rsidR="00CA6E02" w:rsidRPr="004D7BC7">
          <w:rPr>
            <w:rStyle w:val="Lienhypertexte"/>
            <w:rFonts w:eastAsiaTheme="majorEastAsia"/>
            <w:noProof/>
          </w:rPr>
          <w:t>Figure 7: Statut des capacités disponible et requise de chaine du froid au niveau régional jusqu’en 2020</w:t>
        </w:r>
        <w:r w:rsidR="00CA6E02">
          <w:rPr>
            <w:noProof/>
            <w:webHidden/>
          </w:rPr>
          <w:tab/>
        </w:r>
        <w:r w:rsidR="00B51B2E">
          <w:rPr>
            <w:noProof/>
            <w:webHidden/>
          </w:rPr>
          <w:fldChar w:fldCharType="begin"/>
        </w:r>
        <w:r w:rsidR="00CA6E02">
          <w:rPr>
            <w:noProof/>
            <w:webHidden/>
          </w:rPr>
          <w:instrText xml:space="preserve"> PAGEREF _Toc456109504 \h </w:instrText>
        </w:r>
        <w:r w:rsidR="00B51B2E">
          <w:rPr>
            <w:noProof/>
            <w:webHidden/>
          </w:rPr>
        </w:r>
        <w:r w:rsidR="00B51B2E">
          <w:rPr>
            <w:noProof/>
            <w:webHidden/>
          </w:rPr>
          <w:fldChar w:fldCharType="separate"/>
        </w:r>
        <w:r w:rsidR="00DC4EEF">
          <w:rPr>
            <w:noProof/>
            <w:webHidden/>
          </w:rPr>
          <w:t>35</w:t>
        </w:r>
        <w:r w:rsidR="00B51B2E">
          <w:rPr>
            <w:noProof/>
            <w:webHidden/>
          </w:rPr>
          <w:fldChar w:fldCharType="end"/>
        </w:r>
      </w:hyperlink>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505" w:history="1">
        <w:r w:rsidR="00CA6E02" w:rsidRPr="004D7BC7">
          <w:rPr>
            <w:rStyle w:val="Lienhypertexte"/>
            <w:rFonts w:eastAsiaTheme="majorEastAsia"/>
            <w:noProof/>
          </w:rPr>
          <w:t>Figure 8: Statut des capacités disponible et requise de chaine du froid au niveau régional jusqu’en 2020</w:t>
        </w:r>
        <w:r w:rsidR="00CA6E02">
          <w:rPr>
            <w:noProof/>
            <w:webHidden/>
          </w:rPr>
          <w:tab/>
        </w:r>
        <w:r w:rsidR="00B51B2E">
          <w:rPr>
            <w:noProof/>
            <w:webHidden/>
          </w:rPr>
          <w:fldChar w:fldCharType="begin"/>
        </w:r>
        <w:r w:rsidR="00CA6E02">
          <w:rPr>
            <w:noProof/>
            <w:webHidden/>
          </w:rPr>
          <w:instrText xml:space="preserve"> PAGEREF _Toc456109505 \h </w:instrText>
        </w:r>
        <w:r w:rsidR="00B51B2E">
          <w:rPr>
            <w:noProof/>
            <w:webHidden/>
          </w:rPr>
        </w:r>
        <w:r w:rsidR="00B51B2E">
          <w:rPr>
            <w:noProof/>
            <w:webHidden/>
          </w:rPr>
          <w:fldChar w:fldCharType="separate"/>
        </w:r>
        <w:r w:rsidR="00DC4EEF">
          <w:rPr>
            <w:noProof/>
            <w:webHidden/>
          </w:rPr>
          <w:t>38</w:t>
        </w:r>
        <w:r w:rsidR="00B51B2E">
          <w:rPr>
            <w:noProof/>
            <w:webHidden/>
          </w:rPr>
          <w:fldChar w:fldCharType="end"/>
        </w:r>
      </w:hyperlink>
    </w:p>
    <w:p w:rsidR="00CA6E02" w:rsidRDefault="00813A59">
      <w:pPr>
        <w:pStyle w:val="Tabledesillustrations"/>
        <w:tabs>
          <w:tab w:val="right" w:leader="dot" w:pos="10070"/>
        </w:tabs>
        <w:rPr>
          <w:rFonts w:asciiTheme="minorHAnsi" w:eastAsiaTheme="minorEastAsia" w:hAnsiTheme="minorHAnsi" w:cstheme="minorBidi"/>
          <w:caps w:val="0"/>
          <w:noProof/>
          <w:sz w:val="22"/>
          <w:szCs w:val="22"/>
          <w:lang w:val="en-US" w:eastAsia="en-US"/>
        </w:rPr>
      </w:pPr>
      <w:hyperlink w:anchor="_Toc456109506" w:history="1">
        <w:r w:rsidR="00CA6E02" w:rsidRPr="004D7BC7">
          <w:rPr>
            <w:rStyle w:val="Lienhypertexte"/>
            <w:rFonts w:eastAsiaTheme="majorEastAsia"/>
            <w:noProof/>
          </w:rPr>
          <w:t>Figure 9: Cartographie de la distribution nationale des incinérateurs installés et fonctionnels mars 2016.</w:t>
        </w:r>
        <w:r w:rsidR="00CA6E02">
          <w:rPr>
            <w:noProof/>
            <w:webHidden/>
          </w:rPr>
          <w:tab/>
        </w:r>
        <w:r w:rsidR="00B51B2E">
          <w:rPr>
            <w:noProof/>
            <w:webHidden/>
          </w:rPr>
          <w:fldChar w:fldCharType="begin"/>
        </w:r>
        <w:r w:rsidR="00CA6E02">
          <w:rPr>
            <w:noProof/>
            <w:webHidden/>
          </w:rPr>
          <w:instrText xml:space="preserve"> PAGEREF _Toc456109506 \h </w:instrText>
        </w:r>
        <w:r w:rsidR="00B51B2E">
          <w:rPr>
            <w:noProof/>
            <w:webHidden/>
          </w:rPr>
        </w:r>
        <w:r w:rsidR="00B51B2E">
          <w:rPr>
            <w:noProof/>
            <w:webHidden/>
          </w:rPr>
          <w:fldChar w:fldCharType="separate"/>
        </w:r>
        <w:r w:rsidR="00DC4EEF">
          <w:rPr>
            <w:noProof/>
            <w:webHidden/>
          </w:rPr>
          <w:t>44</w:t>
        </w:r>
        <w:r w:rsidR="00B51B2E">
          <w:rPr>
            <w:noProof/>
            <w:webHidden/>
          </w:rPr>
          <w:fldChar w:fldCharType="end"/>
        </w:r>
      </w:hyperlink>
    </w:p>
    <w:p w:rsidR="00431B9D" w:rsidRPr="00621BF1" w:rsidRDefault="00B51B2E" w:rsidP="0055170D">
      <w:pPr>
        <w:spacing w:after="160" w:line="259" w:lineRule="auto"/>
        <w:rPr>
          <w:rFonts w:cs="Arial"/>
        </w:rPr>
      </w:pPr>
      <w:r w:rsidRPr="00621BF1">
        <w:rPr>
          <w:rFonts w:cs="Arial"/>
          <w:b/>
        </w:rPr>
        <w:fldChar w:fldCharType="end"/>
      </w:r>
      <w:r w:rsidR="00431B9D" w:rsidRPr="00621BF1">
        <w:rPr>
          <w:rFonts w:cs="Arial"/>
          <w:b/>
        </w:rPr>
        <w:br w:type="page"/>
      </w:r>
      <w:bookmarkStart w:id="9" w:name="_Toc458593621"/>
      <w:bookmarkStart w:id="10" w:name="_Toc452747485"/>
      <w:r w:rsidR="00A42A1A">
        <w:rPr>
          <w:rFonts w:cs="Arial"/>
        </w:rPr>
        <w:lastRenderedPageBreak/>
        <w:t>I</w:t>
      </w:r>
      <w:r w:rsidR="002A5AFB" w:rsidRPr="00621BF1">
        <w:rPr>
          <w:rFonts w:cs="Arial"/>
        </w:rPr>
        <w:t>NTRODUCTION</w:t>
      </w:r>
      <w:bookmarkEnd w:id="9"/>
    </w:p>
    <w:p w:rsidR="00431B9D" w:rsidRPr="00621BF1" w:rsidRDefault="00431B9D" w:rsidP="00431B9D">
      <w:pPr>
        <w:autoSpaceDE w:val="0"/>
        <w:autoSpaceDN w:val="0"/>
        <w:adjustRightInd w:val="0"/>
        <w:spacing w:after="120"/>
        <w:jc w:val="both"/>
        <w:rPr>
          <w:rFonts w:cs="Arial"/>
        </w:rPr>
      </w:pPr>
      <w:r w:rsidRPr="00621BF1">
        <w:rPr>
          <w:rFonts w:cs="Arial"/>
        </w:rPr>
        <w:t>A l’instar de la majorité des pays africains, la Guinée a souscrit en 1978 à la convention   d’Alma-Ata. L’objectif social « </w:t>
      </w:r>
      <w:r w:rsidRPr="00621BF1">
        <w:rPr>
          <w:rFonts w:cs="Arial"/>
          <w:b/>
          <w:i/>
        </w:rPr>
        <w:t>SANTE POUR TOUS</w:t>
      </w:r>
      <w:r w:rsidRPr="00621BF1">
        <w:rPr>
          <w:rFonts w:cs="Arial"/>
        </w:rPr>
        <w:t xml:space="preserve">» a consacré la stratégie des Soins de Santé Primaires (SSP) qui vise à lutter contre les principales causes de morbidité et de mortalité par des techniques simples, valables, acceptables et accessibles pour tous à un coût abordable pour la communauté. </w:t>
      </w:r>
    </w:p>
    <w:p w:rsidR="00431B9D" w:rsidRPr="00621BF1" w:rsidRDefault="00BB6460" w:rsidP="00431B9D">
      <w:pPr>
        <w:autoSpaceDE w:val="0"/>
        <w:autoSpaceDN w:val="0"/>
        <w:adjustRightInd w:val="0"/>
        <w:spacing w:after="120"/>
        <w:jc w:val="both"/>
        <w:rPr>
          <w:rFonts w:cs="Arial"/>
        </w:rPr>
      </w:pPr>
      <w:r w:rsidRPr="00621BF1">
        <w:rPr>
          <w:rFonts w:cs="Arial"/>
        </w:rPr>
        <w:t>Pour répondre aux besoins prioritaires de santé des populations, la Guinée a mis en œuvre dès 1987, les éléments nécessaires de revitalisation du système de santé périphérique, préfigurant ainsi les grandes lignes de l’Initiative de Bamako (IB). La mise en œuvre de la stratégie des soins de santé primaires avec comme porte d’entrée les activités de vaccination, a été fortement appuyée par l’UNICEF</w:t>
      </w:r>
      <w:r>
        <w:rPr>
          <w:rFonts w:cs="Arial"/>
        </w:rPr>
        <w:t xml:space="preserve"> et d’autres partenaires</w:t>
      </w:r>
      <w:r w:rsidR="00431B9D" w:rsidRPr="00621BF1">
        <w:rPr>
          <w:rFonts w:cs="Arial"/>
        </w:rPr>
        <w:t>. C’est le début du Programme Elargi de Vaccination intégré aux Soins de Santé Primaires et Médicaments Essentiels (PEV-SSP-ME).</w:t>
      </w:r>
    </w:p>
    <w:p w:rsidR="00BB6460" w:rsidRPr="00621BF1" w:rsidRDefault="00BB6460" w:rsidP="00BB6460">
      <w:pPr>
        <w:autoSpaceDE w:val="0"/>
        <w:autoSpaceDN w:val="0"/>
        <w:adjustRightInd w:val="0"/>
        <w:spacing w:after="120"/>
        <w:jc w:val="both"/>
        <w:rPr>
          <w:rFonts w:cs="Arial"/>
        </w:rPr>
      </w:pPr>
      <w:r w:rsidRPr="00621BF1">
        <w:rPr>
          <w:rFonts w:cs="Arial"/>
        </w:rPr>
        <w:t>La vaccination constitue une composante essentielle du droit humain à la santé et une responsabilité individuelle, collective et gouvernementale. On estime qu’elle prévient chaque année 2,5 millions de décès. À l’abri des maladies évitables par la vaccination, les enfants vaccinés peuvent grandir dans de bonnes conditions et réaliser pleinement leur potentiel. Elle est l’une des interventions les plus efficientes en santé publique, contribu</w:t>
      </w:r>
      <w:r>
        <w:rPr>
          <w:rFonts w:cs="Arial"/>
        </w:rPr>
        <w:t xml:space="preserve">ant ainsi </w:t>
      </w:r>
      <w:r w:rsidRPr="00621BF1">
        <w:rPr>
          <w:rFonts w:cs="Arial"/>
        </w:rPr>
        <w:t>à la réduction de la pauvreté</w:t>
      </w:r>
      <w:r>
        <w:rPr>
          <w:rFonts w:cs="Arial"/>
        </w:rPr>
        <w:t xml:space="preserve">. </w:t>
      </w:r>
      <w:r w:rsidRPr="00621BF1">
        <w:rPr>
          <w:rFonts w:cs="Arial"/>
        </w:rPr>
        <w:t>. La promotion de la vaccination est une forme d’investissement dans le capital humain qui permet d’éviter les externalités négatives de la maladie. La vaccination complète contribue pour 40% dans l’atteinte de l’OMD</w:t>
      </w:r>
      <w:r w:rsidRPr="00621BF1">
        <w:rPr>
          <w:rFonts w:cs="Arial"/>
          <w:vertAlign w:val="superscript"/>
        </w:rPr>
        <w:t>4 </w:t>
      </w:r>
      <w:r w:rsidRPr="00621BF1">
        <w:rPr>
          <w:rFonts w:cs="Arial"/>
        </w:rPr>
        <w:t>/ODD</w:t>
      </w:r>
      <w:r w:rsidRPr="00621BF1">
        <w:rPr>
          <w:rFonts w:cs="Arial"/>
          <w:vertAlign w:val="superscript"/>
        </w:rPr>
        <w:t>3</w:t>
      </w:r>
      <w:r w:rsidRPr="00621BF1">
        <w:rPr>
          <w:rFonts w:cs="Arial"/>
        </w:rPr>
        <w:t xml:space="preserve"> .Ces avantages sont encore majorés par les vaccinations à l’adolescence et à l’âge adulte.</w:t>
      </w:r>
    </w:p>
    <w:p w:rsidR="00BB6460" w:rsidRPr="00621BF1" w:rsidRDefault="00BB6460" w:rsidP="00BB6460">
      <w:pPr>
        <w:spacing w:after="120"/>
        <w:jc w:val="both"/>
        <w:rPr>
          <w:rFonts w:cs="Arial"/>
        </w:rPr>
      </w:pPr>
      <w:r w:rsidRPr="00621BF1">
        <w:rPr>
          <w:rFonts w:cs="Arial"/>
        </w:rPr>
        <w:t>Dans le cadre d’un ensemble complet d’interventions pour prévenir et combattre les maladies, les vaccins et la vaccination représentent un investissement essentiel pour l’avenir d’un pays et pour celui de la planète. Cet investissement, pour assurer sa pérennité, nécessite un engagement commun: collectivités, Etat, communauté internationale dont les partenaires techniques et financiers.</w:t>
      </w:r>
    </w:p>
    <w:p w:rsidR="00BB6460" w:rsidRPr="00621BF1" w:rsidRDefault="00BB6460" w:rsidP="00BB6460">
      <w:pPr>
        <w:spacing w:after="120"/>
        <w:jc w:val="both"/>
        <w:rPr>
          <w:rFonts w:cs="Arial"/>
        </w:rPr>
      </w:pPr>
      <w:r w:rsidRPr="00621BF1">
        <w:rPr>
          <w:rFonts w:cs="Arial"/>
        </w:rPr>
        <w:t xml:space="preserve">A l’heure de l’introduction des nouveaux vaccins, l’immunisation des enfants est un véritable défi dont le relèvement passe par une planification à long terme et surtout </w:t>
      </w:r>
      <w:r>
        <w:rPr>
          <w:rFonts w:cs="Arial"/>
        </w:rPr>
        <w:t xml:space="preserve">par </w:t>
      </w:r>
      <w:r w:rsidRPr="00621BF1">
        <w:rPr>
          <w:rFonts w:cs="Arial"/>
        </w:rPr>
        <w:t xml:space="preserve">la mobilisation des ressources nécessaires à la réalisation des activités planifiées. A ce titre, le plan stratégique </w:t>
      </w:r>
      <w:r>
        <w:rPr>
          <w:rFonts w:cs="Arial"/>
        </w:rPr>
        <w:t xml:space="preserve">de la vaccination </w:t>
      </w:r>
      <w:r w:rsidRPr="00621BF1">
        <w:rPr>
          <w:rFonts w:cs="Arial"/>
        </w:rPr>
        <w:t>qu’est le PPAC, constitue un outil privilégié pour la pérennisation du PEV à travers l’amélioration de la viabilité financière de celui-ci.</w:t>
      </w:r>
    </w:p>
    <w:p w:rsidR="00BB6460" w:rsidRPr="00621BF1" w:rsidRDefault="00BB6460" w:rsidP="00BB6460">
      <w:pPr>
        <w:spacing w:after="120"/>
        <w:jc w:val="both"/>
        <w:rPr>
          <w:rFonts w:cs="Arial"/>
        </w:rPr>
      </w:pPr>
      <w:r w:rsidRPr="00621BF1">
        <w:rPr>
          <w:rFonts w:cs="Arial"/>
        </w:rPr>
        <w:t xml:space="preserve">L’efficacité de la mise en œuvre du PPAC dépend de l’engagement de toutes les parties </w:t>
      </w:r>
      <w:r>
        <w:rPr>
          <w:rFonts w:cs="Arial"/>
        </w:rPr>
        <w:t xml:space="preserve">prenantes en vue de </w:t>
      </w:r>
      <w:r w:rsidRPr="00621BF1">
        <w:rPr>
          <w:rFonts w:cs="Arial"/>
        </w:rPr>
        <w:t xml:space="preserve">mobiliser les ressources nécessaires </w:t>
      </w:r>
      <w:r>
        <w:rPr>
          <w:rFonts w:cs="Arial"/>
        </w:rPr>
        <w:t xml:space="preserve">à </w:t>
      </w:r>
      <w:r w:rsidRPr="00621BF1">
        <w:rPr>
          <w:rFonts w:cs="Arial"/>
        </w:rPr>
        <w:t xml:space="preserve">sa mise en œuvre. </w:t>
      </w:r>
    </w:p>
    <w:p w:rsidR="00431B9D" w:rsidRPr="00621BF1" w:rsidRDefault="00BB6460" w:rsidP="00BB6460">
      <w:pPr>
        <w:autoSpaceDE w:val="0"/>
        <w:autoSpaceDN w:val="0"/>
        <w:adjustRightInd w:val="0"/>
        <w:spacing w:after="120"/>
        <w:jc w:val="both"/>
        <w:rPr>
          <w:rFonts w:cs="Arial"/>
        </w:rPr>
      </w:pPr>
      <w:r w:rsidRPr="00621BF1">
        <w:rPr>
          <w:rFonts w:cs="Arial"/>
        </w:rPr>
        <w:t>Il sert de document d’orientation stratégique et de référence nationale pour la planification des activités de vaccination et l’intégration des autres programmes</w:t>
      </w:r>
      <w:r>
        <w:rPr>
          <w:rFonts w:cs="Arial"/>
        </w:rPr>
        <w:t xml:space="preserve"> à </w:t>
      </w:r>
      <w:r w:rsidRPr="00621BF1">
        <w:rPr>
          <w:rFonts w:cs="Arial"/>
        </w:rPr>
        <w:t xml:space="preserve">tous les aspects liés à la vaccination et à d’autres interventions </w:t>
      </w:r>
      <w:r>
        <w:rPr>
          <w:rFonts w:cs="Arial"/>
        </w:rPr>
        <w:t>en</w:t>
      </w:r>
      <w:r w:rsidRPr="00621BF1">
        <w:rPr>
          <w:rFonts w:cs="Arial"/>
        </w:rPr>
        <w:t xml:space="preserve"> santé</w:t>
      </w:r>
      <w:r>
        <w:rPr>
          <w:rFonts w:cs="Arial"/>
        </w:rPr>
        <w:t xml:space="preserve"> de la mère, du nouveau-né et de l’enfant</w:t>
      </w:r>
      <w:r w:rsidR="00431B9D" w:rsidRPr="00621BF1">
        <w:rPr>
          <w:rFonts w:cs="Arial"/>
        </w:rPr>
        <w:t>.</w:t>
      </w:r>
    </w:p>
    <w:p w:rsidR="00431B9D" w:rsidRPr="00621BF1" w:rsidRDefault="00431B9D" w:rsidP="00431B9D"/>
    <w:p w:rsidR="002A5AFB" w:rsidRPr="00621BF1" w:rsidRDefault="002A5AFB">
      <w:pPr>
        <w:spacing w:after="160" w:line="259" w:lineRule="auto"/>
        <w:rPr>
          <w:rFonts w:eastAsiaTheme="minorEastAsia" w:cstheme="majorBidi"/>
          <w:b/>
          <w:bCs/>
          <w:color w:val="5B9BD5" w:themeColor="accent1"/>
          <w:sz w:val="26"/>
          <w:szCs w:val="26"/>
          <w:lang w:eastAsia="fr-FR"/>
        </w:rPr>
      </w:pPr>
      <w:r w:rsidRPr="00621BF1">
        <w:rPr>
          <w:rFonts w:eastAsiaTheme="minorEastAsia"/>
        </w:rPr>
        <w:br w:type="page"/>
      </w:r>
    </w:p>
    <w:p w:rsidR="00431B9D" w:rsidRPr="00621BF1" w:rsidRDefault="00431B9D" w:rsidP="002A5AFB">
      <w:pPr>
        <w:pStyle w:val="Titre1"/>
        <w:rPr>
          <w:rFonts w:eastAsiaTheme="minorEastAsia"/>
        </w:rPr>
      </w:pPr>
      <w:bookmarkStart w:id="11" w:name="_Toc458593622"/>
      <w:r w:rsidRPr="00621BF1">
        <w:rPr>
          <w:rFonts w:eastAsiaTheme="minorEastAsia"/>
        </w:rPr>
        <w:lastRenderedPageBreak/>
        <w:t>PRESENTATION DE LA REPUBLIQUE DE GUINEE</w:t>
      </w:r>
      <w:bookmarkEnd w:id="11"/>
    </w:p>
    <w:p w:rsidR="00431B9D" w:rsidRPr="00621BF1" w:rsidRDefault="00431B9D" w:rsidP="002A5AFB">
      <w:pPr>
        <w:pStyle w:val="Titre2"/>
        <w:rPr>
          <w:rFonts w:eastAsiaTheme="minorEastAsia"/>
        </w:rPr>
      </w:pPr>
      <w:bookmarkStart w:id="12" w:name="_Toc458593623"/>
      <w:r w:rsidRPr="00621BF1">
        <w:rPr>
          <w:rFonts w:eastAsiaTheme="minorEastAsia"/>
        </w:rPr>
        <w:t>CONTEXTE SOCIOPOLITIQUE ET ÉCONOMIQUE</w:t>
      </w:r>
      <w:bookmarkEnd w:id="12"/>
    </w:p>
    <w:p w:rsidR="00323F19" w:rsidRPr="00621BF1" w:rsidRDefault="00323F19" w:rsidP="00323F19">
      <w:pPr>
        <w:rPr>
          <w:sz w:val="2"/>
          <w:lang w:eastAsia="fr-FR"/>
        </w:rPr>
      </w:pPr>
    </w:p>
    <w:p w:rsidR="00431B9D" w:rsidRPr="00621BF1" w:rsidRDefault="00323F19" w:rsidP="00323F19">
      <w:pPr>
        <w:pStyle w:val="Titre3"/>
        <w:spacing w:before="0" w:after="120"/>
        <w:rPr>
          <w:rFonts w:eastAsiaTheme="minorEastAsia"/>
        </w:rPr>
      </w:pPr>
      <w:bookmarkStart w:id="13" w:name="_Toc458593624"/>
      <w:r w:rsidRPr="00621BF1">
        <w:rPr>
          <w:rFonts w:eastAsiaTheme="minorEastAsia"/>
        </w:rPr>
        <w:t>Situation géographique et démographique</w:t>
      </w:r>
      <w:bookmarkEnd w:id="13"/>
    </w:p>
    <w:p w:rsidR="00431B9D" w:rsidRPr="00621BF1" w:rsidRDefault="00431B9D" w:rsidP="00323F19">
      <w:pPr>
        <w:autoSpaceDE w:val="0"/>
        <w:autoSpaceDN w:val="0"/>
        <w:adjustRightInd w:val="0"/>
        <w:spacing w:after="120" w:line="240" w:lineRule="auto"/>
        <w:jc w:val="both"/>
        <w:rPr>
          <w:sz w:val="21"/>
          <w:szCs w:val="21"/>
        </w:rPr>
      </w:pPr>
      <w:r w:rsidRPr="00621BF1">
        <w:rPr>
          <w:rFonts w:cs="Arial"/>
        </w:rPr>
        <w:t>Pays côtier, la Guinée est située dans la partie occidentale du continent africain, à mi-chemin entre l’Équateur et le Tropique de Cancer (7° 30’ et 12 degré 30’ de latitude nord et 8° degré et 15 degré de longitude Ouest). Elle est limitée à l’ouest par la Guinée Bissau et l’Océan Atlantique, au nord par le Sénégal et le Mali, à l’est par la Côte d’Ivoire et au sud par la Sierra Léone et le Libéria et couvre une superficie de 245 857 Km2. Du point de vue géo-écologique, la Guinée est subdivisée en quatre régions naturelles assez bien distinctes et homogènes (Basse Guinée, Haute Guinée, Moyenne Guinée et Guinée Forestière). Elle doit cette originalité à son milieu naturel qui se caractérise par des contrastes climatiques, des barrières montagneuses et l’orientation des reliefs qui se combinent pour donner à chaque région des particularités du point de vue climat, sol, végétation et mode de vie des populations.</w:t>
      </w:r>
      <w:r w:rsidRPr="00621BF1">
        <w:rPr>
          <w:sz w:val="21"/>
          <w:szCs w:val="21"/>
        </w:rPr>
        <w:t xml:space="preserve"> </w:t>
      </w:r>
      <w:r w:rsidRPr="00621BF1">
        <w:rPr>
          <w:rFonts w:cs="Arial"/>
        </w:rPr>
        <w:t xml:space="preserve">Son climat expose le pays à des risques permanents d’inondation, mais aussi à </w:t>
      </w:r>
      <w:proofErr w:type="spellStart"/>
      <w:r w:rsidRPr="00621BF1">
        <w:rPr>
          <w:rFonts w:cs="Arial"/>
        </w:rPr>
        <w:t>l’harmattan</w:t>
      </w:r>
      <w:proofErr w:type="spellEnd"/>
      <w:r w:rsidRPr="00621BF1">
        <w:rPr>
          <w:rFonts w:cs="Arial"/>
        </w:rPr>
        <w:t xml:space="preserve">, des incendies en saison sèche particulièrement en Haute Guinée. Le pays donne naissance aux principaux cours d’eau de la sous-région : le fleuve Konkouré, le fleuve </w:t>
      </w:r>
      <w:proofErr w:type="spellStart"/>
      <w:r w:rsidRPr="00621BF1">
        <w:rPr>
          <w:rFonts w:cs="Arial"/>
        </w:rPr>
        <w:t>Kolenté</w:t>
      </w:r>
      <w:proofErr w:type="spellEnd"/>
      <w:r w:rsidRPr="00621BF1">
        <w:rPr>
          <w:rFonts w:cs="Arial"/>
        </w:rPr>
        <w:t xml:space="preserve">, le fleuve Niger, le fleuve Sénégal, le fleuve </w:t>
      </w:r>
      <w:proofErr w:type="spellStart"/>
      <w:r w:rsidRPr="00621BF1">
        <w:rPr>
          <w:rFonts w:cs="Arial"/>
        </w:rPr>
        <w:t>Loffa</w:t>
      </w:r>
      <w:proofErr w:type="spellEnd"/>
      <w:r w:rsidRPr="00621BF1">
        <w:rPr>
          <w:rFonts w:cs="Arial"/>
        </w:rPr>
        <w:t xml:space="preserve"> et le fleuve Gambie. </w:t>
      </w:r>
    </w:p>
    <w:p w:rsidR="00431B9D" w:rsidRPr="00621BF1" w:rsidRDefault="00431B9D" w:rsidP="00431B9D">
      <w:pPr>
        <w:widowControl w:val="0"/>
        <w:spacing w:after="120"/>
        <w:jc w:val="both"/>
        <w:rPr>
          <w:rFonts w:cs="Arial"/>
        </w:rPr>
      </w:pPr>
      <w:r w:rsidRPr="00621BF1">
        <w:rPr>
          <w:rFonts w:cs="Arial"/>
        </w:rPr>
        <w:t>La population guinéenne est estimée 10.628.972 habitants en 2014 (RGP 2014) avec une densité d’environ 43 habitants au km</w:t>
      </w:r>
      <w:r w:rsidRPr="00621BF1">
        <w:rPr>
          <w:rFonts w:cs="Arial"/>
          <w:vertAlign w:val="superscript"/>
        </w:rPr>
        <w:t>2</w:t>
      </w:r>
      <w:r w:rsidRPr="00621BF1">
        <w:rPr>
          <w:rFonts w:cs="Arial"/>
        </w:rPr>
        <w:t xml:space="preserve">. Sur la base du taux d’accroissement naturel, la population Guinéenne serait de 14 423 741 habitants en 2024. La population est constituée de 52% de femmes et la majorité vit en zone rurale (70%) et près de la moitié de la population est constituée de jeunes de moins de 15 ans (44%).  </w:t>
      </w:r>
      <w:r w:rsidR="004E1721" w:rsidRPr="004E1721">
        <w:rPr>
          <w:rFonts w:cs="Arial"/>
        </w:rPr>
        <w:t>Les enfants de moins d’un an et ceux de moins de 5 ans représentent respectivement 3,6 % et 20% de la population.</w:t>
      </w:r>
      <w:r w:rsidR="004E1721">
        <w:rPr>
          <w:rFonts w:cs="Arial"/>
        </w:rPr>
        <w:t xml:space="preserve"> </w:t>
      </w:r>
      <w:r w:rsidR="004E1721" w:rsidRPr="004E1721">
        <w:rPr>
          <w:rFonts w:cs="Arial"/>
        </w:rPr>
        <w:t>En plus, les femmes enceintes constituent 4.5% et les femmes en âge de procréer 2</w:t>
      </w:r>
      <w:r w:rsidR="004909C4">
        <w:rPr>
          <w:rFonts w:cs="Arial"/>
        </w:rPr>
        <w:t>5</w:t>
      </w:r>
      <w:r w:rsidR="004E1721" w:rsidRPr="004E1721">
        <w:rPr>
          <w:rFonts w:cs="Arial"/>
        </w:rPr>
        <w:t xml:space="preserve"> %.</w:t>
      </w:r>
    </w:p>
    <w:p w:rsidR="00431B9D" w:rsidRPr="00621BF1" w:rsidRDefault="00431B9D" w:rsidP="00431B9D">
      <w:pPr>
        <w:autoSpaceDE w:val="0"/>
        <w:autoSpaceDN w:val="0"/>
        <w:adjustRightInd w:val="0"/>
        <w:spacing w:after="120"/>
        <w:jc w:val="both"/>
        <w:rPr>
          <w:rFonts w:eastAsiaTheme="minorEastAsia"/>
        </w:rPr>
      </w:pPr>
      <w:r w:rsidRPr="00621BF1">
        <w:rPr>
          <w:rFonts w:cs="Arial"/>
        </w:rPr>
        <w:t xml:space="preserve">Le taux brut de natalité était de 34‰ en 2012 avec un indice synthétique de fécondité de 5.1. </w:t>
      </w:r>
      <w:r w:rsidRPr="00621BF1">
        <w:rPr>
          <w:rFonts w:eastAsia="Batang" w:cs="Arial"/>
        </w:rPr>
        <w:t xml:space="preserve">Les niveaux de mortalité adulte sont quasiment identiques dans les deux sexes (4.9 décès pour 1000 chez les femmes et 4.7 décès pour 1 000 chez les hommes). </w:t>
      </w:r>
      <w:r w:rsidR="004909C4">
        <w:rPr>
          <w:rFonts w:eastAsia="Batang" w:cs="Arial"/>
        </w:rPr>
        <w:t xml:space="preserve">Les taux de mortalité néonatale, infantile et infanto-juvénile sont respectivement de 33 pour 1000 NV, 67 pour 100 NV et123 pour 1000 NV (naissance vivante). </w:t>
      </w:r>
      <w:r w:rsidRPr="00621BF1">
        <w:rPr>
          <w:rFonts w:cs="Arial"/>
        </w:rPr>
        <w:t>L’espérance de vie à la naissance est de 58,9 ans</w:t>
      </w:r>
      <w:r w:rsidRPr="00621BF1">
        <w:rPr>
          <w:rFonts w:cs="Arial"/>
          <w:vertAlign w:val="superscript"/>
        </w:rPr>
        <w:footnoteReference w:id="1"/>
      </w:r>
      <w:r w:rsidRPr="00621BF1">
        <w:rPr>
          <w:rFonts w:cs="Arial"/>
        </w:rPr>
        <w:t xml:space="preserve">. </w:t>
      </w:r>
    </w:p>
    <w:p w:rsidR="00431B9D" w:rsidRPr="00621BF1" w:rsidRDefault="00431B9D" w:rsidP="00323F19">
      <w:pPr>
        <w:pStyle w:val="Titre3"/>
        <w:spacing w:before="0" w:after="120"/>
        <w:rPr>
          <w:rFonts w:eastAsiaTheme="minorEastAsia"/>
        </w:rPr>
      </w:pPr>
      <w:bookmarkStart w:id="14" w:name="_Toc458593625"/>
      <w:r w:rsidRPr="00621BF1">
        <w:rPr>
          <w:rFonts w:eastAsiaTheme="minorEastAsia"/>
        </w:rPr>
        <w:t>Situation politique, administrative et gouvernance</w:t>
      </w:r>
      <w:bookmarkEnd w:id="14"/>
    </w:p>
    <w:p w:rsidR="00431B9D" w:rsidRPr="00621BF1" w:rsidRDefault="00431B9D" w:rsidP="00431B9D">
      <w:pPr>
        <w:autoSpaceDE w:val="0"/>
        <w:autoSpaceDN w:val="0"/>
        <w:adjustRightInd w:val="0"/>
        <w:jc w:val="both"/>
        <w:rPr>
          <w:rFonts w:cs="Arial"/>
        </w:rPr>
      </w:pPr>
      <w:r w:rsidRPr="00621BF1">
        <w:rPr>
          <w:rFonts w:cs="Arial"/>
        </w:rPr>
        <w:t xml:space="preserve">La Guinée est un État laïc indépendant depuis le 2 Octobre 1958. De l’indépendance à 1984, le pays a été dirigé par un régime de parti unique qui a été suivi par un pouvoir militaire jusqu’en 1990, date à laquelle la Guinée s’est dotée d’une nouvelle Constitution consacrant le multipartisme. A ce jour, plus de deux cents partis politiques sont agréés dans le pays. Par ailleurs, de profondes crises économiques, sociales et politiques ont affecté ce régime à partir de 2002 et ont débouché sur la prise du pouvoir par les militaires en décembre 2008 par l’intermédiaire du Conseil National pour la Démocratie et le Développement (CNDD). Á partir de décembre 2010, la troisième République a été instaurée avec l’élection d’un Président de la République démocratiquement élu. Cette période est caractérisée par la reconnaissance et le renforcement de tous les acquis démocratiques des deux premières Républiques. </w:t>
      </w:r>
    </w:p>
    <w:p w:rsidR="00431B9D" w:rsidRPr="00621BF1" w:rsidRDefault="00431B9D" w:rsidP="00431B9D">
      <w:pPr>
        <w:autoSpaceDE w:val="0"/>
        <w:autoSpaceDN w:val="0"/>
        <w:adjustRightInd w:val="0"/>
        <w:jc w:val="both"/>
        <w:rPr>
          <w:rFonts w:cs="Arial"/>
        </w:rPr>
      </w:pPr>
      <w:r w:rsidRPr="00621BF1">
        <w:rPr>
          <w:rFonts w:cs="Arial"/>
        </w:rPr>
        <w:t>Du point de vue de l’organisation administrative, la Guinée est subdivisée en sept régions administratives qui sont : Boké, Faranah, Kankan, Kindia, Labé, Mamou et N’</w:t>
      </w:r>
      <w:proofErr w:type="spellStart"/>
      <w:r w:rsidRPr="00621BF1">
        <w:rPr>
          <w:rFonts w:cs="Arial"/>
        </w:rPr>
        <w:t>Zérékoré</w:t>
      </w:r>
      <w:proofErr w:type="spellEnd"/>
      <w:r w:rsidRPr="00621BF1">
        <w:rPr>
          <w:rFonts w:cs="Arial"/>
        </w:rPr>
        <w:t xml:space="preserve"> et la capitale Conakry qui jouit d’un statut particulier. Chaque région est dirigée par un Gouverneur. Les régions administratives sont subdivisées en </w:t>
      </w:r>
      <w:r w:rsidRPr="00621BF1">
        <w:rPr>
          <w:rFonts w:cs="Arial"/>
        </w:rPr>
        <w:lastRenderedPageBreak/>
        <w:t xml:space="preserve">préfectures qui sont au nombre de 33 pour l’ensemble du pays. </w:t>
      </w:r>
      <w:r w:rsidR="004E1721" w:rsidRPr="00621BF1">
        <w:rPr>
          <w:rFonts w:cs="Arial"/>
        </w:rPr>
        <w:t xml:space="preserve">Chaque préfecture est subdivisée en </w:t>
      </w:r>
      <w:r w:rsidR="004E1721">
        <w:rPr>
          <w:rFonts w:cs="Arial"/>
        </w:rPr>
        <w:t xml:space="preserve">sous-préfectures sur le plan administratif et en </w:t>
      </w:r>
      <w:r w:rsidR="004E1721" w:rsidRPr="00621BF1">
        <w:rPr>
          <w:rFonts w:cs="Arial"/>
        </w:rPr>
        <w:t>communes urbaines et rurales</w:t>
      </w:r>
      <w:r w:rsidR="004E1721">
        <w:rPr>
          <w:rFonts w:cs="Arial"/>
        </w:rPr>
        <w:t xml:space="preserve"> au compte de la décentralisation</w:t>
      </w:r>
      <w:r w:rsidR="004E1721" w:rsidRPr="00621BF1">
        <w:rPr>
          <w:rFonts w:cs="Arial"/>
        </w:rPr>
        <w:t>. Il existe au total 343 communes urbaines et rurales, y compris les 5 communes de Conakry. Les communes sont réparties en quartiers et districts. Toutes ces entités administratives</w:t>
      </w:r>
      <w:r w:rsidR="004E1721">
        <w:rPr>
          <w:rFonts w:cs="Arial"/>
        </w:rPr>
        <w:t xml:space="preserve"> et des collectivités </w:t>
      </w:r>
      <w:r w:rsidR="004E1721" w:rsidRPr="00621BF1">
        <w:rPr>
          <w:rFonts w:cs="Arial"/>
        </w:rPr>
        <w:t>relèvent du Ministère de l’Administration du Territoire et de la Décentralisation (Cf. carte ci-dessous)</w:t>
      </w:r>
      <w:r w:rsidRPr="00621BF1">
        <w:rPr>
          <w:rFonts w:cs="Arial"/>
        </w:rPr>
        <w:t>.</w:t>
      </w:r>
    </w:p>
    <w:p w:rsidR="00431B9D" w:rsidRPr="00621BF1" w:rsidRDefault="00431B9D" w:rsidP="00431B9D">
      <w:pPr>
        <w:autoSpaceDE w:val="0"/>
        <w:autoSpaceDN w:val="0"/>
        <w:adjustRightInd w:val="0"/>
        <w:jc w:val="both"/>
        <w:rPr>
          <w:rFonts w:cs="Arial"/>
        </w:rPr>
      </w:pPr>
      <w:r w:rsidRPr="00621BF1">
        <w:rPr>
          <w:rFonts w:cs="Arial"/>
        </w:rPr>
        <w:t xml:space="preserve">                    </w:t>
      </w:r>
      <w:r w:rsidRPr="00621BF1">
        <w:rPr>
          <w:noProof/>
          <w:lang w:eastAsia="fr-FR"/>
        </w:rPr>
        <w:drawing>
          <wp:inline distT="0" distB="0" distL="0" distR="0">
            <wp:extent cx="4606119" cy="3292382"/>
            <wp:effectExtent l="19050" t="19050" r="23495" b="22860"/>
            <wp:docPr id="20" name="Picture 32" descr="Admi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2" descr="Admin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462" cy="3333370"/>
                    </a:xfrm>
                    <a:prstGeom prst="rect">
                      <a:avLst/>
                    </a:prstGeom>
                    <a:noFill/>
                    <a:ln w="9525">
                      <a:solidFill>
                        <a:srgbClr val="000000"/>
                      </a:solidFill>
                      <a:miter lim="800000"/>
                      <a:headEnd/>
                      <a:tailEnd/>
                    </a:ln>
                    <a:extLst/>
                  </pic:spPr>
                </pic:pic>
              </a:graphicData>
            </a:graphic>
          </wp:inline>
        </w:drawing>
      </w:r>
    </w:p>
    <w:p w:rsidR="00431B9D" w:rsidRPr="00621BF1" w:rsidRDefault="00431B9D" w:rsidP="00323F19">
      <w:pPr>
        <w:pStyle w:val="Lgende"/>
      </w:pPr>
      <w:r w:rsidRPr="00621BF1">
        <w:t xml:space="preserve"> </w:t>
      </w:r>
      <w:r w:rsidR="00323F19" w:rsidRPr="00621BF1">
        <w:t xml:space="preserve">                                 </w:t>
      </w:r>
      <w:r w:rsidRPr="00621BF1">
        <w:t xml:space="preserve">   </w:t>
      </w:r>
      <w:bookmarkStart w:id="15" w:name="_Toc456109498"/>
      <w:r w:rsidR="00323F19" w:rsidRPr="00621BF1">
        <w:t xml:space="preserve">Figure </w:t>
      </w:r>
      <w:r w:rsidR="00B51B2E" w:rsidRPr="00621BF1">
        <w:fldChar w:fldCharType="begin"/>
      </w:r>
      <w:r w:rsidR="00323F19" w:rsidRPr="00621BF1">
        <w:instrText xml:space="preserve"> SEQ Figure \* ARABIC </w:instrText>
      </w:r>
      <w:r w:rsidR="00B51B2E" w:rsidRPr="00621BF1">
        <w:fldChar w:fldCharType="separate"/>
      </w:r>
      <w:r w:rsidR="00DC4EEF">
        <w:rPr>
          <w:noProof/>
        </w:rPr>
        <w:t>1</w:t>
      </w:r>
      <w:r w:rsidR="00B51B2E" w:rsidRPr="00621BF1">
        <w:fldChar w:fldCharType="end"/>
      </w:r>
      <w:r w:rsidR="00323F19" w:rsidRPr="00621BF1">
        <w:t>: Carte administrative de la Guinée</w:t>
      </w:r>
      <w:bookmarkEnd w:id="15"/>
    </w:p>
    <w:p w:rsidR="00323F19" w:rsidRPr="00621BF1" w:rsidRDefault="00323F19" w:rsidP="00323F19">
      <w:pPr>
        <w:pStyle w:val="Titre4"/>
        <w:keepLines/>
        <w:numPr>
          <w:ilvl w:val="0"/>
          <w:numId w:val="0"/>
        </w:numPr>
        <w:spacing w:before="40" w:after="0"/>
        <w:ind w:left="864" w:hanging="864"/>
        <w:rPr>
          <w:rFonts w:eastAsiaTheme="minorEastAsia"/>
        </w:rPr>
      </w:pPr>
    </w:p>
    <w:p w:rsidR="00431B9D" w:rsidRPr="00621BF1" w:rsidRDefault="00431B9D" w:rsidP="00323F19">
      <w:pPr>
        <w:pStyle w:val="Titre3"/>
        <w:spacing w:before="0" w:after="120"/>
        <w:rPr>
          <w:rFonts w:eastAsiaTheme="minorEastAsia"/>
        </w:rPr>
      </w:pPr>
      <w:bookmarkStart w:id="16" w:name="_Toc458593626"/>
      <w:r w:rsidRPr="00621BF1">
        <w:rPr>
          <w:rFonts w:eastAsiaTheme="minorEastAsia"/>
        </w:rPr>
        <w:t>Situation socio-économique</w:t>
      </w:r>
      <w:bookmarkEnd w:id="16"/>
    </w:p>
    <w:p w:rsidR="00323F19" w:rsidRPr="00621BF1" w:rsidRDefault="00431B9D" w:rsidP="00431B9D">
      <w:pPr>
        <w:jc w:val="both"/>
        <w:rPr>
          <w:rFonts w:cs="Arial"/>
        </w:rPr>
      </w:pPr>
      <w:r w:rsidRPr="00621BF1">
        <w:rPr>
          <w:rFonts w:cs="Arial"/>
        </w:rPr>
        <w:t>Le pays dispose d'importantes ressources naturelles. En dépit de ses énormes potentialités naturelles, la Guinée fait partie des pays les plus pauvres du monde. En 2012, elle a occupé le 178ème rang sur 186 pays</w:t>
      </w:r>
      <w:r w:rsidRPr="00AA70AB">
        <w:rPr>
          <w:rFonts w:cs="Arial"/>
          <w:vertAlign w:val="superscript"/>
        </w:rPr>
        <w:footnoteReference w:id="2"/>
      </w:r>
      <w:r w:rsidRPr="00621BF1">
        <w:rPr>
          <w:rFonts w:cs="Arial"/>
        </w:rPr>
        <w:t xml:space="preserve"> à l’indice de développement humain durable (IDH). Selon l’Enquête Légère pour l’Évaluation de la Pauvreté (ELEP 2012), 55,2 % de la population vit en dessous du seuil de pauvreté. </w:t>
      </w:r>
    </w:p>
    <w:p w:rsidR="00431B9D" w:rsidRPr="00621BF1" w:rsidRDefault="00431B9D" w:rsidP="00431B9D">
      <w:pPr>
        <w:jc w:val="both"/>
        <w:rPr>
          <w:rFonts w:cs="Arial"/>
        </w:rPr>
      </w:pPr>
      <w:r w:rsidRPr="00621BF1">
        <w:rPr>
          <w:rFonts w:cs="Arial"/>
        </w:rPr>
        <w:t xml:space="preserve">La croissance économique, estimée à 3,9% en 2011, est impulsée principalement par l’augmentation de la production agricole et de la bonne tenue du secteur secondaire a perdu 2 points en 2015, suite à la survenue de la MVE. Les recettes fiscales exprimées en pourcentage du produit intérieur brut (PIB) ont augmenté de 16,8% à 19,8%, grâce à l’accroissement des recettes sur les produits pétroliers et des recettes sur le commerce international. </w:t>
      </w:r>
    </w:p>
    <w:p w:rsidR="00431B9D" w:rsidRPr="00621BF1" w:rsidRDefault="00431B9D" w:rsidP="00431B9D">
      <w:pPr>
        <w:jc w:val="both"/>
        <w:rPr>
          <w:rFonts w:cs="Arial"/>
        </w:rPr>
      </w:pPr>
      <w:r w:rsidRPr="00621BF1">
        <w:rPr>
          <w:rFonts w:cs="Arial"/>
        </w:rPr>
        <w:t xml:space="preserve">Sur le plan éducatif, les résultats de l’EDS-MICS 2012 montrent que 65 % des femmes et 47 % des hommes de 6 ans et plus n’ont aucun niveau d’instruction. Ces proportions étaient respectivement de 55 % et 72 % en 2005. On observe des écarts importants selon le milieu de résidence, aussi bien chez les femmes que chez les </w:t>
      </w:r>
      <w:r w:rsidRPr="00621BF1">
        <w:rPr>
          <w:rFonts w:cs="Arial"/>
        </w:rPr>
        <w:lastRenderedPageBreak/>
        <w:t>hommes. En effet, parmi les femmes du milieu rural, 77 % n’ont aucun niveau d’instruction contre 41 % en milieu urbain ; chez les hommes, ces proportions sont respectivement de 60 % et de 23 %.</w:t>
      </w:r>
    </w:p>
    <w:p w:rsidR="00431B9D" w:rsidRPr="00621BF1" w:rsidRDefault="00431B9D" w:rsidP="00431B9D">
      <w:pPr>
        <w:autoSpaceDE w:val="0"/>
        <w:autoSpaceDN w:val="0"/>
        <w:adjustRightInd w:val="0"/>
        <w:rPr>
          <w:rFonts w:cs="Arial"/>
        </w:rPr>
      </w:pPr>
    </w:p>
    <w:p w:rsidR="00431B9D" w:rsidRPr="00621BF1" w:rsidRDefault="00431B9D" w:rsidP="00323F19">
      <w:pPr>
        <w:pStyle w:val="Titre1"/>
        <w:rPr>
          <w:rFonts w:eastAsiaTheme="minorEastAsia"/>
        </w:rPr>
      </w:pPr>
      <w:bookmarkStart w:id="17" w:name="_Toc458593627"/>
      <w:r w:rsidRPr="00621BF1">
        <w:rPr>
          <w:rFonts w:eastAsiaTheme="minorEastAsia"/>
        </w:rPr>
        <w:t>SYSTÈME DE SANTE</w:t>
      </w:r>
      <w:bookmarkEnd w:id="17"/>
    </w:p>
    <w:p w:rsidR="00431B9D" w:rsidRPr="00621BF1" w:rsidRDefault="00431B9D" w:rsidP="004E1721">
      <w:pPr>
        <w:pStyle w:val="Titre2"/>
        <w:rPr>
          <w:rFonts w:eastAsiaTheme="minorEastAsia"/>
        </w:rPr>
      </w:pPr>
      <w:bookmarkStart w:id="18" w:name="_Toc458593628"/>
      <w:r w:rsidRPr="00621BF1">
        <w:rPr>
          <w:rFonts w:eastAsiaTheme="minorEastAsia"/>
        </w:rPr>
        <w:t>Politique nationale</w:t>
      </w:r>
      <w:bookmarkEnd w:id="18"/>
    </w:p>
    <w:p w:rsidR="00431B9D" w:rsidRPr="00621BF1" w:rsidRDefault="00431B9D" w:rsidP="00431B9D">
      <w:pPr>
        <w:pStyle w:val="Titre"/>
        <w:widowControl w:val="0"/>
        <w:spacing w:before="0" w:after="120"/>
        <w:jc w:val="both"/>
        <w:rPr>
          <w:rFonts w:ascii="Gill Sans MT" w:hAnsi="Gill Sans MT"/>
          <w:b w:val="0"/>
          <w:i/>
          <w:sz w:val="22"/>
          <w:szCs w:val="22"/>
        </w:rPr>
      </w:pPr>
      <w:r w:rsidRPr="00621BF1">
        <w:rPr>
          <w:rFonts w:ascii="Gill Sans MT" w:hAnsi="Gill Sans MT"/>
          <w:b w:val="0"/>
          <w:sz w:val="22"/>
          <w:szCs w:val="22"/>
        </w:rPr>
        <w:t xml:space="preserve">La Constitution Guinéenne reconnaît la santé comme un droit fondamental en son article 15 qui stipule que: </w:t>
      </w:r>
      <w:r w:rsidRPr="00621BF1">
        <w:rPr>
          <w:rFonts w:ascii="Gill Sans MT" w:hAnsi="Gill Sans MT"/>
          <w:b w:val="0"/>
          <w:i/>
          <w:sz w:val="22"/>
          <w:szCs w:val="22"/>
        </w:rPr>
        <w:t>«</w:t>
      </w:r>
      <w:r w:rsidRPr="00621BF1">
        <w:rPr>
          <w:rFonts w:ascii="Gill Sans MT" w:hAnsi="Gill Sans MT"/>
          <w:i/>
          <w:sz w:val="22"/>
          <w:szCs w:val="22"/>
        </w:rPr>
        <w:t xml:space="preserve">Chacun </w:t>
      </w:r>
      <w:proofErr w:type="gramStart"/>
      <w:r w:rsidRPr="00621BF1">
        <w:rPr>
          <w:rFonts w:ascii="Gill Sans MT" w:hAnsi="Gill Sans MT"/>
          <w:i/>
          <w:sz w:val="22"/>
          <w:szCs w:val="22"/>
        </w:rPr>
        <w:t>a</w:t>
      </w:r>
      <w:proofErr w:type="gramEnd"/>
      <w:r w:rsidRPr="00621BF1">
        <w:rPr>
          <w:rFonts w:ascii="Gill Sans MT" w:hAnsi="Gill Sans MT"/>
          <w:i/>
          <w:sz w:val="22"/>
          <w:szCs w:val="22"/>
        </w:rPr>
        <w:t xml:space="preserve"> droit à la santé et au bien-être physique. L'Etat </w:t>
      </w:r>
      <w:proofErr w:type="spellStart"/>
      <w:r w:rsidR="00956A06" w:rsidRPr="00621BF1">
        <w:rPr>
          <w:rFonts w:ascii="Gill Sans MT" w:hAnsi="Gill Sans MT"/>
          <w:i/>
          <w:sz w:val="22"/>
          <w:szCs w:val="22"/>
        </w:rPr>
        <w:t>à</w:t>
      </w:r>
      <w:proofErr w:type="spellEnd"/>
      <w:r w:rsidRPr="00621BF1">
        <w:rPr>
          <w:rFonts w:ascii="Gill Sans MT" w:hAnsi="Gill Sans MT"/>
          <w:i/>
          <w:sz w:val="22"/>
          <w:szCs w:val="22"/>
        </w:rPr>
        <w:t xml:space="preserve"> le devoir de les promouvoir, de lutter contre les épidémies et les fléaux sociaux».</w:t>
      </w:r>
    </w:p>
    <w:p w:rsidR="00431B9D" w:rsidRPr="00621BF1" w:rsidRDefault="00431B9D" w:rsidP="00431B9D">
      <w:pPr>
        <w:pStyle w:val="Titre"/>
        <w:widowControl w:val="0"/>
        <w:spacing w:before="0" w:after="120"/>
        <w:jc w:val="both"/>
        <w:rPr>
          <w:rFonts w:ascii="Gill Sans MT" w:eastAsia="Calibri" w:hAnsi="Gill Sans MT"/>
          <w:b w:val="0"/>
          <w:sz w:val="22"/>
          <w:szCs w:val="22"/>
        </w:rPr>
      </w:pPr>
      <w:r w:rsidRPr="00621BF1">
        <w:rPr>
          <w:rFonts w:ascii="Gill Sans MT" w:hAnsi="Gill Sans MT"/>
          <w:b w:val="0"/>
          <w:bCs w:val="0"/>
          <w:sz w:val="22"/>
          <w:szCs w:val="22"/>
          <w:lang w:val="fr-BE"/>
        </w:rPr>
        <w:t xml:space="preserve">La nouvelle politique de santé se donne comme vision une Guinée où toutes les populations sont en bonne santé, économiquement et socialement productives, bénéficiant d’un accès universel à des services et soins de santé </w:t>
      </w:r>
      <w:r w:rsidRPr="00621BF1">
        <w:rPr>
          <w:rFonts w:ascii="Gill Sans MT" w:hAnsi="Gill Sans MT"/>
          <w:b w:val="0"/>
          <w:bCs w:val="0"/>
          <w:i/>
          <w:sz w:val="22"/>
          <w:szCs w:val="22"/>
          <w:u w:val="single"/>
          <w:lang w:val="fr-BE"/>
        </w:rPr>
        <w:t xml:space="preserve">de qualité </w:t>
      </w:r>
      <w:r w:rsidRPr="00621BF1">
        <w:rPr>
          <w:rFonts w:ascii="Gill Sans MT" w:hAnsi="Gill Sans MT"/>
          <w:b w:val="0"/>
          <w:bCs w:val="0"/>
          <w:sz w:val="22"/>
          <w:szCs w:val="22"/>
          <w:lang w:val="fr-BE"/>
        </w:rPr>
        <w:t>avec leur pleine participation. Elle s’inspire de la vision définie dans la Stratégie de Réduction de la Pauvreté qui ambitionne à long terme d’asseoir un système de santé performant, accessible et équitable, capable de satisfaire le droit à la santé de tous, en particulier les plus vulnérables (DSRP 2012 – 2015). Elle</w:t>
      </w:r>
      <w:r w:rsidRPr="00621BF1">
        <w:rPr>
          <w:rFonts w:ascii="Gill Sans MT" w:hAnsi="Gill Sans MT"/>
          <w:b w:val="0"/>
          <w:sz w:val="22"/>
          <w:szCs w:val="22"/>
        </w:rPr>
        <w:t xml:space="preserve"> est basée sur l’approche des Soins de Santé Primaires avec comme niveau opérationnel le district sanitaire. La mise en œuvre de cette politique est guidée par les principes directeurs suivants : (i) Efficience, (ii) Soins centrés sur les personnes et les services intégrés, (iii) Gestion axée sur les résultats, (iv) Décentralisation/ déconcentration et (v) Partenariat.  </w:t>
      </w:r>
      <w:r w:rsidRPr="00621BF1">
        <w:rPr>
          <w:rFonts w:ascii="Gill Sans MT" w:eastAsia="Calibri" w:hAnsi="Gill Sans MT"/>
          <w:b w:val="0"/>
          <w:sz w:val="22"/>
          <w:szCs w:val="22"/>
        </w:rPr>
        <w:t xml:space="preserve"> </w:t>
      </w:r>
    </w:p>
    <w:p w:rsidR="00431B9D" w:rsidRPr="00621BF1" w:rsidRDefault="00431B9D" w:rsidP="00431B9D">
      <w:pPr>
        <w:spacing w:after="120"/>
        <w:jc w:val="both"/>
        <w:rPr>
          <w:rFonts w:cs="Arial"/>
        </w:rPr>
      </w:pPr>
      <w:r w:rsidRPr="00621BF1">
        <w:rPr>
          <w:rFonts w:eastAsia="Calibri"/>
        </w:rPr>
        <w:t>La politique nationale de la sant</w:t>
      </w:r>
      <w:r w:rsidR="004E1721">
        <w:rPr>
          <w:rFonts w:eastAsia="Calibri"/>
        </w:rPr>
        <w:t>é</w:t>
      </w:r>
      <w:r w:rsidRPr="00621BF1">
        <w:rPr>
          <w:rFonts w:eastAsia="Calibri"/>
        </w:rPr>
        <w:t xml:space="preserve"> adoptée en novembre 2014 a pour </w:t>
      </w:r>
      <w:r w:rsidRPr="00621BF1">
        <w:t>objectif général d’a</w:t>
      </w:r>
      <w:r w:rsidRPr="00621BF1">
        <w:rPr>
          <w:bCs/>
        </w:rPr>
        <w:t>méliorer l’état de santé de la population guinéenne. De façon spécifique, elle vise à : (i) Réduire la mortalité et la morbidité liées aux maladies transmissibles, non transmissibles et aux situations d’urgences ; (ii) améliorer la santé à toutes les étapes de la vie et (iii) améliorer la performance du système national de santé.</w:t>
      </w:r>
    </w:p>
    <w:p w:rsidR="00431B9D" w:rsidRPr="00621BF1" w:rsidRDefault="00431B9D" w:rsidP="004E1721">
      <w:pPr>
        <w:pStyle w:val="Titre2"/>
        <w:rPr>
          <w:rFonts w:eastAsiaTheme="minorEastAsia"/>
        </w:rPr>
      </w:pPr>
      <w:bookmarkStart w:id="19" w:name="_Toc458593629"/>
      <w:r w:rsidRPr="00621BF1">
        <w:rPr>
          <w:rFonts w:eastAsiaTheme="minorEastAsia"/>
        </w:rPr>
        <w:t>Organisation du système de sant</w:t>
      </w:r>
      <w:bookmarkEnd w:id="19"/>
      <w:r w:rsidR="00451C16">
        <w:rPr>
          <w:rFonts w:eastAsiaTheme="minorEastAsia"/>
        </w:rPr>
        <w:t>é</w:t>
      </w:r>
    </w:p>
    <w:p w:rsidR="00431B9D" w:rsidRPr="00621BF1" w:rsidRDefault="00431B9D" w:rsidP="00431B9D">
      <w:pPr>
        <w:jc w:val="both"/>
        <w:rPr>
          <w:rFonts w:eastAsia="Calibri"/>
          <w:bCs/>
        </w:rPr>
      </w:pPr>
      <w:r w:rsidRPr="00621BF1">
        <w:rPr>
          <w:rFonts w:eastAsia="Calibri"/>
          <w:bCs/>
        </w:rPr>
        <w:t xml:space="preserve">La structure organisationnelle et fonctionnelle du Ministère de la Santé est définie par le décret N° D/2011/061/PRG/SGG du 2 mars 2011 portant organisation et attribution du Ministère de la Santé. </w:t>
      </w:r>
    </w:p>
    <w:p w:rsidR="00127D0B" w:rsidRPr="00621BF1" w:rsidRDefault="00431B9D" w:rsidP="000675EC">
      <w:pPr>
        <w:pStyle w:val="BodyTextIn"/>
        <w:spacing w:after="120"/>
        <w:rPr>
          <w:rFonts w:ascii="Gill Sans MT" w:eastAsia="Calibri" w:hAnsi="Gill Sans MT"/>
          <w:bCs/>
          <w:sz w:val="22"/>
        </w:rPr>
      </w:pPr>
      <w:r w:rsidRPr="00621BF1">
        <w:rPr>
          <w:rFonts w:ascii="Gill Sans MT" w:eastAsia="Calibri" w:hAnsi="Gill Sans MT"/>
          <w:b/>
          <w:bCs/>
          <w:sz w:val="22"/>
        </w:rPr>
        <w:t>L’offre de soins publics</w:t>
      </w:r>
      <w:r w:rsidRPr="00621BF1">
        <w:rPr>
          <w:rFonts w:ascii="Gill Sans MT" w:eastAsia="Calibri" w:hAnsi="Gill Sans MT"/>
          <w:bCs/>
          <w:sz w:val="22"/>
        </w:rPr>
        <w:t xml:space="preserve"> est organisée de façon pyramidale et comporte trois niveaux de comme l’indique le graphique ci-dessous (central, intermédiaire et périphériq</w:t>
      </w:r>
      <w:r w:rsidR="00127D0B" w:rsidRPr="00621BF1">
        <w:rPr>
          <w:rFonts w:ascii="Gill Sans MT" w:eastAsia="Calibri" w:hAnsi="Gill Sans MT"/>
          <w:bCs/>
          <w:sz w:val="22"/>
        </w:rPr>
        <w:t xml:space="preserve">ue) : </w:t>
      </w:r>
    </w:p>
    <w:p w:rsidR="00FC741D" w:rsidRPr="00621BF1" w:rsidRDefault="00127D0B" w:rsidP="000675EC">
      <w:pPr>
        <w:pStyle w:val="BodyTextIn"/>
        <w:spacing w:after="120"/>
        <w:rPr>
          <w:rFonts w:ascii="Gill Sans MT" w:hAnsi="Gill Sans MT" w:cs="Times New Roman"/>
          <w:color w:val="auto"/>
          <w:sz w:val="22"/>
          <w:szCs w:val="24"/>
          <w:lang w:val="fr-BE" w:eastAsia="fr-FR"/>
        </w:rPr>
      </w:pPr>
      <w:r w:rsidRPr="00621BF1">
        <w:rPr>
          <w:rFonts w:ascii="Gill Sans MT" w:hAnsi="Gill Sans MT" w:cs="Times New Roman"/>
          <w:bCs/>
          <w:color w:val="auto"/>
          <w:sz w:val="22"/>
          <w:szCs w:val="24"/>
          <w:u w:val="single"/>
          <w:lang w:val="fr-BE" w:eastAsia="fr-FR"/>
        </w:rPr>
        <w:t>Le niveau central</w:t>
      </w:r>
      <w:r w:rsidR="00FC741D" w:rsidRPr="00621BF1">
        <w:rPr>
          <w:rFonts w:ascii="Gill Sans MT" w:hAnsi="Gill Sans MT" w:cs="Times New Roman"/>
          <w:bCs/>
          <w:color w:val="auto"/>
          <w:sz w:val="22"/>
          <w:szCs w:val="24"/>
          <w:lang w:val="fr-BE" w:eastAsia="fr-FR"/>
        </w:rPr>
        <w:t xml:space="preserve"> </w:t>
      </w:r>
      <w:r w:rsidRPr="00621BF1">
        <w:rPr>
          <w:rFonts w:ascii="Gill Sans MT" w:hAnsi="Gill Sans MT" w:cs="Times New Roman"/>
          <w:bCs/>
          <w:color w:val="auto"/>
          <w:sz w:val="22"/>
          <w:szCs w:val="24"/>
          <w:lang w:val="fr-BE" w:eastAsia="fr-FR"/>
        </w:rPr>
        <w:t>joue</w:t>
      </w:r>
      <w:r w:rsidRPr="00621BF1">
        <w:rPr>
          <w:rFonts w:ascii="Gill Sans MT" w:hAnsi="Gill Sans MT" w:cs="Times New Roman"/>
          <w:b/>
          <w:bCs/>
          <w:color w:val="auto"/>
          <w:sz w:val="22"/>
          <w:szCs w:val="24"/>
          <w:lang w:val="fr-BE" w:eastAsia="fr-FR"/>
        </w:rPr>
        <w:t xml:space="preserve"> </w:t>
      </w:r>
      <w:r w:rsidRPr="00621BF1">
        <w:rPr>
          <w:rFonts w:ascii="Gill Sans MT" w:hAnsi="Gill Sans MT" w:cs="Times New Roman"/>
          <w:color w:val="auto"/>
          <w:sz w:val="22"/>
          <w:szCs w:val="24"/>
          <w:lang w:val="fr-BE" w:eastAsia="fr-FR"/>
        </w:rPr>
        <w:t>un rôle normatif et stratégique. Il comprend le Cabinet du Min</w:t>
      </w:r>
      <w:r w:rsidR="00FC741D" w:rsidRPr="00621BF1">
        <w:rPr>
          <w:rFonts w:ascii="Gill Sans MT" w:hAnsi="Gill Sans MT" w:cs="Times New Roman"/>
          <w:color w:val="auto"/>
          <w:sz w:val="22"/>
          <w:szCs w:val="24"/>
          <w:lang w:val="fr-BE" w:eastAsia="fr-FR"/>
        </w:rPr>
        <w:t xml:space="preserve">istre, le Secrétariat Général, 4 directions nationales et </w:t>
      </w:r>
      <w:r w:rsidR="00FC741D" w:rsidRPr="004E1721">
        <w:rPr>
          <w:rFonts w:ascii="Gill Sans MT" w:hAnsi="Gill Sans MT" w:cs="Times New Roman"/>
          <w:color w:val="auto"/>
          <w:sz w:val="22"/>
          <w:szCs w:val="24"/>
          <w:lang w:val="fr-BE" w:eastAsia="fr-FR"/>
        </w:rPr>
        <w:t>10</w:t>
      </w:r>
      <w:r w:rsidR="00FC741D" w:rsidRPr="00621BF1">
        <w:rPr>
          <w:rFonts w:ascii="Gill Sans MT" w:hAnsi="Gill Sans MT" w:cs="Times New Roman"/>
          <w:color w:val="auto"/>
          <w:sz w:val="22"/>
          <w:szCs w:val="24"/>
          <w:lang w:val="fr-BE" w:eastAsia="fr-FR"/>
        </w:rPr>
        <w:t xml:space="preserve"> </w:t>
      </w:r>
      <w:r w:rsidRPr="00621BF1">
        <w:rPr>
          <w:rFonts w:ascii="Gill Sans MT" w:hAnsi="Gill Sans MT" w:cs="Times New Roman"/>
          <w:color w:val="auto"/>
          <w:sz w:val="22"/>
          <w:szCs w:val="24"/>
          <w:lang w:val="fr-BE" w:eastAsia="fr-FR"/>
        </w:rPr>
        <w:t>programmes</w:t>
      </w:r>
      <w:r w:rsidR="00FC741D" w:rsidRPr="00621BF1">
        <w:rPr>
          <w:rFonts w:ascii="Gill Sans MT" w:hAnsi="Gill Sans MT" w:cs="Times New Roman"/>
          <w:color w:val="auto"/>
          <w:sz w:val="22"/>
          <w:szCs w:val="24"/>
          <w:lang w:val="fr-BE" w:eastAsia="fr-FR"/>
        </w:rPr>
        <w:t xml:space="preserve"> (PEV/SSP, Tuberculose, le VIH/SIDA/</w:t>
      </w:r>
      <w:r w:rsidRPr="00621BF1">
        <w:rPr>
          <w:rFonts w:ascii="Gill Sans MT" w:hAnsi="Gill Sans MT" w:cs="Times New Roman"/>
          <w:color w:val="auto"/>
          <w:sz w:val="22"/>
          <w:szCs w:val="24"/>
          <w:lang w:val="fr-BE" w:eastAsia="fr-FR"/>
        </w:rPr>
        <w:t>IST,</w:t>
      </w:r>
      <w:r w:rsidR="00FC741D" w:rsidRPr="00621BF1">
        <w:rPr>
          <w:rFonts w:ascii="Gill Sans MT" w:hAnsi="Gill Sans MT" w:cs="Times New Roman"/>
          <w:color w:val="auto"/>
          <w:sz w:val="22"/>
          <w:szCs w:val="24"/>
          <w:lang w:val="fr-BE" w:eastAsia="fr-FR"/>
        </w:rPr>
        <w:t xml:space="preserve"> paludisme, onchocercose etc.</w:t>
      </w:r>
      <w:r w:rsidRPr="00621BF1">
        <w:rPr>
          <w:rFonts w:ascii="Gill Sans MT" w:hAnsi="Gill Sans MT" w:cs="Times New Roman"/>
          <w:color w:val="auto"/>
          <w:sz w:val="22"/>
          <w:szCs w:val="24"/>
          <w:lang w:val="fr-BE" w:eastAsia="fr-FR"/>
        </w:rPr>
        <w:t xml:space="preserve">). </w:t>
      </w:r>
    </w:p>
    <w:p w:rsidR="00127D0B" w:rsidRPr="00621BF1" w:rsidRDefault="00127D0B" w:rsidP="000675EC">
      <w:pPr>
        <w:pStyle w:val="BodyTextIn"/>
        <w:spacing w:after="120"/>
        <w:rPr>
          <w:rFonts w:ascii="Gill Sans MT" w:hAnsi="Gill Sans MT" w:cs="Times New Roman"/>
          <w:color w:val="auto"/>
          <w:sz w:val="22"/>
          <w:szCs w:val="24"/>
          <w:lang w:val="fr-BE" w:eastAsia="fr-FR"/>
        </w:rPr>
      </w:pPr>
      <w:r w:rsidRPr="00621BF1">
        <w:rPr>
          <w:rFonts w:ascii="Gill Sans MT" w:hAnsi="Gill Sans MT" w:cs="Times New Roman"/>
          <w:bCs/>
          <w:color w:val="auto"/>
          <w:sz w:val="22"/>
          <w:szCs w:val="24"/>
          <w:u w:val="single"/>
          <w:lang w:val="fr-BE" w:eastAsia="fr-FR"/>
        </w:rPr>
        <w:t>Le niveau intermédiaire</w:t>
      </w:r>
      <w:r w:rsidR="00FC741D" w:rsidRPr="00621BF1">
        <w:rPr>
          <w:rFonts w:ascii="Gill Sans MT" w:hAnsi="Gill Sans MT" w:cs="Times New Roman"/>
          <w:bCs/>
          <w:color w:val="auto"/>
          <w:sz w:val="22"/>
          <w:szCs w:val="24"/>
          <w:lang w:val="fr-BE" w:eastAsia="fr-FR"/>
        </w:rPr>
        <w:t>, joue</w:t>
      </w:r>
      <w:r w:rsidR="00FC741D" w:rsidRPr="00621BF1">
        <w:rPr>
          <w:rFonts w:ascii="Gill Sans MT" w:hAnsi="Gill Sans MT" w:cs="Times New Roman"/>
          <w:b/>
          <w:bCs/>
          <w:color w:val="auto"/>
          <w:sz w:val="22"/>
          <w:szCs w:val="24"/>
          <w:lang w:val="fr-BE" w:eastAsia="fr-FR"/>
        </w:rPr>
        <w:t xml:space="preserve"> </w:t>
      </w:r>
      <w:r w:rsidRPr="00621BF1">
        <w:rPr>
          <w:rFonts w:ascii="Gill Sans MT" w:hAnsi="Gill Sans MT" w:cs="Times New Roman"/>
          <w:color w:val="auto"/>
          <w:sz w:val="22"/>
          <w:szCs w:val="24"/>
          <w:lang w:val="fr-BE" w:eastAsia="fr-FR"/>
        </w:rPr>
        <w:t>le rôle  d’appui te</w:t>
      </w:r>
      <w:r w:rsidR="00FC741D" w:rsidRPr="00621BF1">
        <w:rPr>
          <w:rFonts w:ascii="Gill Sans MT" w:hAnsi="Gill Sans MT" w:cs="Times New Roman"/>
          <w:color w:val="auto"/>
          <w:sz w:val="22"/>
          <w:szCs w:val="24"/>
          <w:lang w:val="fr-BE" w:eastAsia="fr-FR"/>
        </w:rPr>
        <w:t>chnique et logistique  aux directions préfectorales de la</w:t>
      </w:r>
      <w:r w:rsidR="000675EC" w:rsidRPr="00621BF1">
        <w:rPr>
          <w:rFonts w:ascii="Gill Sans MT" w:hAnsi="Gill Sans MT" w:cs="Times New Roman"/>
          <w:color w:val="auto"/>
          <w:sz w:val="22"/>
          <w:szCs w:val="24"/>
          <w:lang w:val="fr-BE" w:eastAsia="fr-FR"/>
        </w:rPr>
        <w:t xml:space="preserve"> santé. Il comporte 8 </w:t>
      </w:r>
      <w:r w:rsidR="00FC741D" w:rsidRPr="00621BF1">
        <w:rPr>
          <w:rFonts w:ascii="Gill Sans MT" w:hAnsi="Gill Sans MT" w:cs="Times New Roman"/>
          <w:color w:val="auto"/>
          <w:sz w:val="22"/>
          <w:szCs w:val="24"/>
          <w:lang w:val="fr-BE" w:eastAsia="fr-FR"/>
        </w:rPr>
        <w:t xml:space="preserve">directions </w:t>
      </w:r>
      <w:r w:rsidR="000675EC" w:rsidRPr="00621BF1">
        <w:rPr>
          <w:rFonts w:ascii="Gill Sans MT" w:hAnsi="Gill Sans MT" w:cs="Times New Roman"/>
          <w:color w:val="auto"/>
          <w:sz w:val="22"/>
          <w:szCs w:val="24"/>
          <w:lang w:val="fr-BE" w:eastAsia="fr-FR"/>
        </w:rPr>
        <w:t>régionales de la santé, y compris la direction de Sante de la ville de Conakry (</w:t>
      </w:r>
      <w:proofErr w:type="spellStart"/>
      <w:r w:rsidR="000675EC" w:rsidRPr="00621BF1">
        <w:rPr>
          <w:rFonts w:ascii="Gill Sans MT" w:hAnsi="Gill Sans MT" w:cs="Times New Roman"/>
          <w:color w:val="auto"/>
          <w:sz w:val="22"/>
          <w:szCs w:val="24"/>
          <w:lang w:val="fr-BE" w:eastAsia="fr-FR"/>
        </w:rPr>
        <w:t>DSVCo</w:t>
      </w:r>
      <w:proofErr w:type="spellEnd"/>
      <w:r w:rsidR="000675EC" w:rsidRPr="00621BF1">
        <w:rPr>
          <w:rFonts w:ascii="Gill Sans MT" w:hAnsi="Gill Sans MT" w:cs="Times New Roman"/>
          <w:color w:val="auto"/>
          <w:sz w:val="22"/>
          <w:szCs w:val="24"/>
          <w:lang w:val="fr-BE" w:eastAsia="fr-FR"/>
        </w:rPr>
        <w:t>)</w:t>
      </w:r>
      <w:r w:rsidR="00FC741D" w:rsidRPr="00621BF1">
        <w:rPr>
          <w:rFonts w:ascii="Gill Sans MT" w:hAnsi="Gill Sans MT" w:cs="Times New Roman"/>
          <w:color w:val="auto"/>
          <w:sz w:val="22"/>
          <w:szCs w:val="24"/>
          <w:lang w:val="fr-BE" w:eastAsia="fr-FR"/>
        </w:rPr>
        <w:t xml:space="preserve">. </w:t>
      </w:r>
    </w:p>
    <w:p w:rsidR="00127D0B" w:rsidRDefault="00127D0B" w:rsidP="000675EC">
      <w:pPr>
        <w:pStyle w:val="BodyTextIn"/>
        <w:spacing w:after="120"/>
        <w:rPr>
          <w:rFonts w:ascii="Gill Sans MT" w:hAnsi="Gill Sans MT" w:cs="Times New Roman"/>
          <w:color w:val="auto"/>
          <w:sz w:val="22"/>
          <w:szCs w:val="24"/>
          <w:lang w:val="fr-BE" w:eastAsia="fr-FR"/>
        </w:rPr>
      </w:pPr>
      <w:r w:rsidRPr="00621BF1">
        <w:rPr>
          <w:rFonts w:ascii="Gill Sans MT" w:hAnsi="Gill Sans MT" w:cs="Times New Roman"/>
          <w:bCs/>
          <w:color w:val="auto"/>
          <w:sz w:val="22"/>
          <w:szCs w:val="24"/>
          <w:u w:val="single"/>
          <w:lang w:val="fr-BE" w:eastAsia="fr-FR"/>
        </w:rPr>
        <w:t>Le niveau périphérique</w:t>
      </w:r>
      <w:r w:rsidR="000675EC" w:rsidRPr="00621BF1">
        <w:rPr>
          <w:rFonts w:ascii="Gill Sans MT" w:hAnsi="Gill Sans MT" w:cs="Times New Roman"/>
          <w:b/>
          <w:bCs/>
          <w:color w:val="auto"/>
          <w:sz w:val="22"/>
          <w:szCs w:val="24"/>
          <w:lang w:val="fr-BE" w:eastAsia="fr-FR"/>
        </w:rPr>
        <w:t xml:space="preserve"> </w:t>
      </w:r>
      <w:r w:rsidRPr="00621BF1">
        <w:rPr>
          <w:rFonts w:ascii="Gill Sans MT" w:hAnsi="Gill Sans MT" w:cs="Times New Roman"/>
          <w:color w:val="auto"/>
          <w:sz w:val="22"/>
          <w:szCs w:val="24"/>
          <w:lang w:val="fr-BE" w:eastAsia="fr-FR"/>
        </w:rPr>
        <w:t xml:space="preserve"> est  le niveau opérationnel. </w:t>
      </w:r>
      <w:r w:rsidR="000675EC" w:rsidRPr="00621BF1">
        <w:rPr>
          <w:rFonts w:ascii="Gill Sans MT" w:hAnsi="Gill Sans MT" w:cs="Times New Roman"/>
          <w:color w:val="auto"/>
          <w:sz w:val="22"/>
          <w:szCs w:val="24"/>
          <w:lang w:val="fr-BE" w:eastAsia="fr-FR"/>
        </w:rPr>
        <w:t>Il comporte 38 directions préfectorales de la santé, y compris  les 5 directions communales de la santé (DCS) de la ville de Conakry.</w:t>
      </w:r>
      <w:r w:rsidRPr="00621BF1">
        <w:rPr>
          <w:rFonts w:ascii="Gill Sans MT" w:hAnsi="Gill Sans MT" w:cs="Times New Roman"/>
          <w:color w:val="auto"/>
          <w:sz w:val="22"/>
          <w:szCs w:val="24"/>
          <w:lang w:val="fr-BE" w:eastAsia="fr-FR"/>
        </w:rPr>
        <w:t xml:space="preserve"> </w:t>
      </w:r>
    </w:p>
    <w:p w:rsidR="004E1721" w:rsidRDefault="004E1721" w:rsidP="000675EC">
      <w:pPr>
        <w:pStyle w:val="BodyTextIn"/>
        <w:spacing w:after="120"/>
        <w:rPr>
          <w:rFonts w:ascii="Gill Sans MT" w:hAnsi="Gill Sans MT" w:cs="Times New Roman"/>
          <w:color w:val="auto"/>
          <w:sz w:val="22"/>
          <w:szCs w:val="24"/>
          <w:lang w:val="fr-BE" w:eastAsia="fr-FR"/>
        </w:rPr>
      </w:pPr>
    </w:p>
    <w:p w:rsidR="004E1721" w:rsidRDefault="004E1721" w:rsidP="000675EC">
      <w:pPr>
        <w:pStyle w:val="BodyTextIn"/>
        <w:spacing w:after="120"/>
        <w:rPr>
          <w:rFonts w:ascii="Gill Sans MT" w:hAnsi="Gill Sans MT" w:cs="Times New Roman"/>
          <w:color w:val="auto"/>
          <w:sz w:val="22"/>
          <w:szCs w:val="24"/>
          <w:lang w:val="fr-BE" w:eastAsia="fr-FR"/>
        </w:rPr>
      </w:pPr>
    </w:p>
    <w:p w:rsidR="004E1721" w:rsidRDefault="004E1721" w:rsidP="000675EC">
      <w:pPr>
        <w:pStyle w:val="BodyTextIn"/>
        <w:spacing w:after="120"/>
        <w:rPr>
          <w:rFonts w:ascii="Gill Sans MT" w:hAnsi="Gill Sans MT" w:cs="Times New Roman"/>
          <w:color w:val="auto"/>
          <w:sz w:val="22"/>
          <w:szCs w:val="24"/>
          <w:lang w:val="fr-BE" w:eastAsia="fr-FR"/>
        </w:rPr>
      </w:pPr>
    </w:p>
    <w:p w:rsidR="004E1721" w:rsidRDefault="004E1721" w:rsidP="000675EC">
      <w:pPr>
        <w:pStyle w:val="BodyTextIn"/>
        <w:spacing w:after="120"/>
        <w:rPr>
          <w:rFonts w:ascii="Gill Sans MT" w:hAnsi="Gill Sans MT" w:cs="Times New Roman"/>
          <w:color w:val="auto"/>
          <w:sz w:val="22"/>
          <w:szCs w:val="24"/>
          <w:lang w:val="fr-BE" w:eastAsia="fr-FR"/>
        </w:rPr>
      </w:pPr>
    </w:p>
    <w:p w:rsidR="004E1721" w:rsidRDefault="004E1721" w:rsidP="000675EC">
      <w:pPr>
        <w:pStyle w:val="BodyTextIn"/>
        <w:spacing w:after="120"/>
        <w:rPr>
          <w:rFonts w:ascii="Gill Sans MT" w:hAnsi="Gill Sans MT" w:cs="Times New Roman"/>
          <w:color w:val="auto"/>
          <w:sz w:val="22"/>
          <w:szCs w:val="24"/>
          <w:lang w:val="fr-BE" w:eastAsia="fr-FR"/>
        </w:rPr>
      </w:pPr>
    </w:p>
    <w:p w:rsidR="004E1721" w:rsidRDefault="004E1721" w:rsidP="000675EC">
      <w:pPr>
        <w:pStyle w:val="BodyTextIn"/>
        <w:spacing w:after="120"/>
        <w:rPr>
          <w:rFonts w:ascii="Gill Sans MT" w:hAnsi="Gill Sans MT" w:cs="Times New Roman"/>
          <w:color w:val="auto"/>
          <w:sz w:val="22"/>
          <w:szCs w:val="24"/>
          <w:lang w:val="fr-BE" w:eastAsia="fr-FR"/>
        </w:rPr>
      </w:pPr>
    </w:p>
    <w:p w:rsidR="004E1721" w:rsidRDefault="004E1721" w:rsidP="000675EC">
      <w:pPr>
        <w:pStyle w:val="BodyTextIn"/>
        <w:spacing w:after="120"/>
        <w:rPr>
          <w:rFonts w:ascii="Gill Sans MT" w:hAnsi="Gill Sans MT" w:cs="Times New Roman"/>
          <w:color w:val="auto"/>
          <w:sz w:val="22"/>
          <w:szCs w:val="24"/>
          <w:lang w:val="fr-BE" w:eastAsia="fr-FR"/>
        </w:rPr>
      </w:pPr>
    </w:p>
    <w:p w:rsidR="004E1721" w:rsidRDefault="004E1721" w:rsidP="000675EC">
      <w:pPr>
        <w:pStyle w:val="BodyTextIn"/>
        <w:spacing w:after="120"/>
        <w:rPr>
          <w:rFonts w:ascii="Gill Sans MT" w:hAnsi="Gill Sans MT" w:cs="Times New Roman"/>
          <w:color w:val="auto"/>
          <w:sz w:val="22"/>
          <w:szCs w:val="24"/>
          <w:lang w:val="fr-BE" w:eastAsia="fr-FR"/>
        </w:rPr>
      </w:pPr>
    </w:p>
    <w:p w:rsidR="004E1721" w:rsidRDefault="004E1721" w:rsidP="000675EC">
      <w:pPr>
        <w:pStyle w:val="BodyTextIn"/>
        <w:spacing w:after="120"/>
        <w:rPr>
          <w:rFonts w:ascii="Gill Sans MT" w:hAnsi="Gill Sans MT" w:cs="Times New Roman"/>
          <w:color w:val="auto"/>
          <w:sz w:val="22"/>
          <w:szCs w:val="24"/>
          <w:lang w:val="fr-BE" w:eastAsia="fr-FR"/>
        </w:rPr>
      </w:pPr>
    </w:p>
    <w:p w:rsidR="00431B9D" w:rsidRPr="00621BF1" w:rsidRDefault="000372BD" w:rsidP="00431B9D">
      <w:pPr>
        <w:jc w:val="both"/>
      </w:pPr>
      <w:r>
        <w:rPr>
          <w:noProof/>
          <w:lang w:eastAsia="fr-FR"/>
        </w:rPr>
        <mc:AlternateContent>
          <mc:Choice Requires="wpg">
            <w:drawing>
              <wp:anchor distT="0" distB="0" distL="114300" distR="114300" simplePos="0" relativeHeight="251741696" behindDoc="0" locked="0" layoutInCell="1" allowOverlap="1">
                <wp:simplePos x="0" y="0"/>
                <wp:positionH relativeFrom="column">
                  <wp:posOffset>410210</wp:posOffset>
                </wp:positionH>
                <wp:positionV relativeFrom="paragraph">
                  <wp:posOffset>105410</wp:posOffset>
                </wp:positionV>
                <wp:extent cx="5287645" cy="4476750"/>
                <wp:effectExtent l="0" t="0" r="8255"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645" cy="4476750"/>
                          <a:chOff x="0" y="0"/>
                          <a:chExt cx="5287837" cy="4476738"/>
                        </a:xfrm>
                      </wpg:grpSpPr>
                      <wps:wsp>
                        <wps:cNvPr id="88" name="Rectangle 88"/>
                        <wps:cNvSpPr/>
                        <wps:spPr>
                          <a:xfrm>
                            <a:off x="0" y="0"/>
                            <a:ext cx="5287837" cy="4476738"/>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 name="Group 87"/>
                        <wpg:cNvGrpSpPr/>
                        <wpg:grpSpPr>
                          <a:xfrm>
                            <a:off x="77638" y="155276"/>
                            <a:ext cx="5129530" cy="4192270"/>
                            <a:chOff x="0" y="0"/>
                            <a:chExt cx="5130129" cy="4192438"/>
                          </a:xfrm>
                        </wpg:grpSpPr>
                        <wps:wsp>
                          <wps:cNvPr id="75" name="Straight Connector 75"/>
                          <wps:cNvCnPr/>
                          <wps:spPr>
                            <a:xfrm flipH="1">
                              <a:off x="1268083" y="336431"/>
                              <a:ext cx="0" cy="3191773"/>
                            </a:xfrm>
                            <a:prstGeom prst="line">
                              <a:avLst/>
                            </a:prstGeom>
                            <a:ln w="762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a:off x="4175185" y="310551"/>
                              <a:ext cx="8627" cy="2820837"/>
                            </a:xfrm>
                            <a:prstGeom prst="line">
                              <a:avLst/>
                            </a:prstGeom>
                            <a:ln w="762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86" name="Group 86"/>
                          <wpg:cNvGrpSpPr/>
                          <wpg:grpSpPr>
                            <a:xfrm>
                              <a:off x="0" y="0"/>
                              <a:ext cx="5130129" cy="4192438"/>
                              <a:chOff x="0" y="0"/>
                              <a:chExt cx="5130129" cy="4192438"/>
                            </a:xfrm>
                          </wpg:grpSpPr>
                          <wps:wsp>
                            <wps:cNvPr id="29" name="Flowchart: Extract 29"/>
                            <wps:cNvSpPr/>
                            <wps:spPr>
                              <a:xfrm>
                                <a:off x="1285336" y="431321"/>
                                <a:ext cx="2820670" cy="3743864"/>
                              </a:xfrm>
                              <a:prstGeom prst="flowChartExtract">
                                <a:avLst/>
                              </a:prstGeom>
                              <a:solidFill>
                                <a:schemeClr val="tx1">
                                  <a:lumMod val="50000"/>
                                  <a:lumOff val="50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A59" w:rsidRPr="00175812" w:rsidRDefault="00813A59" w:rsidP="00175812">
                                  <w:pPr>
                                    <w:jc w:val="center"/>
                                    <w:rPr>
                                      <w:b/>
                                      <w:sz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6212" name="Text Box 6212"/>
                            <wps:cNvSpPr txBox="1"/>
                            <wps:spPr>
                              <a:xfrm>
                                <a:off x="8626" y="396816"/>
                                <a:ext cx="313690" cy="110363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A59" w:rsidRPr="00255F59" w:rsidRDefault="00813A59" w:rsidP="00431B9D">
                                  <w:pPr>
                                    <w:jc w:val="center"/>
                                    <w:rPr>
                                      <w:sz w:val="20"/>
                                    </w:rPr>
                                  </w:pPr>
                                  <w:r>
                                    <w:rPr>
                                      <w:sz w:val="20"/>
                                    </w:rPr>
                                    <w:t xml:space="preserve">Niveau  </w:t>
                                  </w:r>
                                  <w:r w:rsidRPr="00255F59">
                                    <w:rPr>
                                      <w:sz w:val="20"/>
                                    </w:rPr>
                                    <w:t>Central</w:t>
                                  </w:r>
                                </w:p>
                                <w:p w:rsidR="00813A59" w:rsidRDefault="00813A59" w:rsidP="00431B9D">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215" name="Text Box 6215"/>
                            <wps:cNvSpPr txBox="1"/>
                            <wps:spPr>
                              <a:xfrm>
                                <a:off x="345056" y="0"/>
                                <a:ext cx="1992115" cy="301925"/>
                              </a:xfrm>
                              <a:prstGeom prst="rect">
                                <a:avLst/>
                              </a:prstGeom>
                              <a:solidFill>
                                <a:schemeClr val="accent2">
                                  <a:lumMod val="20000"/>
                                  <a:lumOff val="8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13A59" w:rsidRPr="00673125" w:rsidRDefault="00813A59" w:rsidP="00431B9D">
                                  <w:pPr>
                                    <w:rPr>
                                      <w:sz w:val="18"/>
                                    </w:rPr>
                                  </w:pPr>
                                  <w:r w:rsidRPr="00673125">
                                    <w:rPr>
                                      <w:sz w:val="18"/>
                                    </w:rPr>
                                    <w:t>STRUCTURES ADMINISTRATIVES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16" name="Text Box 6216"/>
                            <wps:cNvSpPr txBox="1"/>
                            <wps:spPr>
                              <a:xfrm>
                                <a:off x="3295290" y="8627"/>
                                <a:ext cx="1800860" cy="275590"/>
                              </a:xfrm>
                              <a:prstGeom prst="rect">
                                <a:avLst/>
                              </a:prstGeom>
                              <a:solidFill>
                                <a:schemeClr val="accent2">
                                  <a:lumMod val="20000"/>
                                  <a:lumOff val="8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13A59" w:rsidRPr="00BB629E" w:rsidRDefault="00813A59" w:rsidP="00BB629E">
                                  <w:pPr>
                                    <w:jc w:val="center"/>
                                    <w:rPr>
                                      <w:sz w:val="18"/>
                                    </w:rPr>
                                  </w:pPr>
                                  <w:r w:rsidRPr="00BB629E">
                                    <w:rPr>
                                      <w:sz w:val="18"/>
                                    </w:rPr>
                                    <w:t>STRUCTURES DE 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3" name="Text Box 6263"/>
                            <wps:cNvSpPr txBox="1"/>
                            <wps:spPr>
                              <a:xfrm>
                                <a:off x="414068" y="508954"/>
                                <a:ext cx="1750695" cy="939800"/>
                              </a:xfrm>
                              <a:prstGeom prst="rect">
                                <a:avLst/>
                              </a:prstGeom>
                              <a:solidFill>
                                <a:schemeClr val="accent2">
                                  <a:lumMod val="40000"/>
                                  <a:lumOff val="60000"/>
                                </a:schemeClr>
                              </a:solidFill>
                              <a:ln w="28575">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R="00813A59" w:rsidRPr="00BB629E" w:rsidRDefault="00813A59" w:rsidP="0015288B">
                                  <w:pPr>
                                    <w:pStyle w:val="Paragraphedeliste"/>
                                    <w:numPr>
                                      <w:ilvl w:val="0"/>
                                      <w:numId w:val="27"/>
                                    </w:numPr>
                                    <w:spacing w:after="0"/>
                                    <w:rPr>
                                      <w:sz w:val="18"/>
                                    </w:rPr>
                                  </w:pPr>
                                  <w:r w:rsidRPr="00BB629E">
                                    <w:rPr>
                                      <w:sz w:val="18"/>
                                    </w:rPr>
                                    <w:t>Cabinet du Ministre de la Sante</w:t>
                                  </w:r>
                                </w:p>
                                <w:p w:rsidR="00813A59" w:rsidRPr="00BB629E" w:rsidRDefault="00813A59" w:rsidP="0015288B">
                                  <w:pPr>
                                    <w:pStyle w:val="Paragraphedeliste"/>
                                    <w:numPr>
                                      <w:ilvl w:val="0"/>
                                      <w:numId w:val="27"/>
                                    </w:numPr>
                                    <w:spacing w:after="0"/>
                                    <w:rPr>
                                      <w:sz w:val="18"/>
                                    </w:rPr>
                                  </w:pPr>
                                  <w:r>
                                    <w:rPr>
                                      <w:sz w:val="18"/>
                                    </w:rPr>
                                    <w:t xml:space="preserve">1 </w:t>
                                  </w:r>
                                  <w:r w:rsidRPr="00BB629E">
                                    <w:rPr>
                                      <w:sz w:val="18"/>
                                    </w:rPr>
                                    <w:t>Secrétariat General</w:t>
                                  </w:r>
                                </w:p>
                                <w:p w:rsidR="00813A59" w:rsidRPr="00BB629E" w:rsidRDefault="00813A59" w:rsidP="0015288B">
                                  <w:pPr>
                                    <w:pStyle w:val="Paragraphedeliste"/>
                                    <w:numPr>
                                      <w:ilvl w:val="0"/>
                                      <w:numId w:val="27"/>
                                    </w:numPr>
                                    <w:spacing w:after="0"/>
                                    <w:rPr>
                                      <w:sz w:val="18"/>
                                    </w:rPr>
                                  </w:pPr>
                                  <w:r w:rsidRPr="00BB629E">
                                    <w:rPr>
                                      <w:sz w:val="18"/>
                                    </w:rPr>
                                    <w:t>4 directions nationales</w:t>
                                  </w:r>
                                </w:p>
                                <w:p w:rsidR="00813A59" w:rsidRPr="00BB629E" w:rsidRDefault="00813A59" w:rsidP="0015288B">
                                  <w:pPr>
                                    <w:pStyle w:val="Paragraphedeliste"/>
                                    <w:numPr>
                                      <w:ilvl w:val="0"/>
                                      <w:numId w:val="27"/>
                                    </w:numPr>
                                    <w:spacing w:after="0"/>
                                    <w:rPr>
                                      <w:sz w:val="18"/>
                                    </w:rPr>
                                  </w:pPr>
                                  <w:r w:rsidRPr="004E1721">
                                    <w:rPr>
                                      <w:sz w:val="18"/>
                                    </w:rPr>
                                    <w:t xml:space="preserve">10 </w:t>
                                  </w:r>
                                  <w:r w:rsidRPr="00BB629E">
                                    <w:rPr>
                                      <w:sz w:val="18"/>
                                    </w:rPr>
                                    <w:t>programmes nationaux</w:t>
                                  </w:r>
                                </w:p>
                                <w:p w:rsidR="00813A59" w:rsidRPr="00BB629E" w:rsidRDefault="00813A59" w:rsidP="00431B9D">
                                  <w:pPr>
                                    <w:rPr>
                                      <w:sz w:val="18"/>
                                    </w:rPr>
                                  </w:pPr>
                                </w:p>
                                <w:p w:rsidR="00813A59" w:rsidRPr="00BB629E" w:rsidRDefault="00813A59" w:rsidP="00431B9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3295290" y="388189"/>
                                <a:ext cx="1783080" cy="1163955"/>
                              </a:xfrm>
                              <a:prstGeom prst="rect">
                                <a:avLst/>
                              </a:prstGeom>
                              <a:solidFill>
                                <a:schemeClr val="accent2">
                                  <a:lumMod val="40000"/>
                                  <a:lumOff val="60000"/>
                                </a:schemeClr>
                              </a:solidFill>
                              <a:ln w="28575">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R="00813A59" w:rsidRPr="00BB629E" w:rsidRDefault="00813A59" w:rsidP="0015288B">
                                  <w:pPr>
                                    <w:pStyle w:val="Paragraphedeliste"/>
                                    <w:numPr>
                                      <w:ilvl w:val="0"/>
                                      <w:numId w:val="27"/>
                                    </w:numPr>
                                    <w:spacing w:after="0"/>
                                    <w:rPr>
                                      <w:sz w:val="18"/>
                                    </w:rPr>
                                  </w:pPr>
                                  <w:r w:rsidRPr="00BB629E">
                                    <w:rPr>
                                      <w:sz w:val="18"/>
                                    </w:rPr>
                                    <w:t xml:space="preserve">3 hôpitaux nationaux </w:t>
                                  </w:r>
                                </w:p>
                                <w:p w:rsidR="00813A59" w:rsidRPr="00BB629E" w:rsidRDefault="00813A59" w:rsidP="0015288B">
                                  <w:pPr>
                                    <w:pStyle w:val="Paragraphedeliste"/>
                                    <w:numPr>
                                      <w:ilvl w:val="0"/>
                                      <w:numId w:val="27"/>
                                    </w:numPr>
                                    <w:spacing w:after="0"/>
                                    <w:rPr>
                                      <w:sz w:val="18"/>
                                    </w:rPr>
                                  </w:pPr>
                                  <w:r>
                                    <w:rPr>
                                      <w:sz w:val="18"/>
                                    </w:rPr>
                                    <w:t>01</w:t>
                                  </w:r>
                                  <w:r w:rsidRPr="00BB629E">
                                    <w:rPr>
                                      <w:sz w:val="18"/>
                                    </w:rPr>
                                    <w:t xml:space="preserve"> institut National de la sante de l’Enfant (INSE),</w:t>
                                  </w:r>
                                </w:p>
                                <w:p w:rsidR="00813A59" w:rsidRPr="00BB629E" w:rsidRDefault="00813A59" w:rsidP="0015288B">
                                  <w:pPr>
                                    <w:pStyle w:val="Paragraphedeliste"/>
                                    <w:numPr>
                                      <w:ilvl w:val="0"/>
                                      <w:numId w:val="27"/>
                                    </w:numPr>
                                    <w:spacing w:after="0"/>
                                    <w:rPr>
                                      <w:sz w:val="18"/>
                                    </w:rPr>
                                  </w:pPr>
                                  <w:r w:rsidRPr="00BB629E">
                                    <w:rPr>
                                      <w:sz w:val="18"/>
                                    </w:rPr>
                                    <w:t>1 Laboratoire National de référence</w:t>
                                  </w:r>
                                </w:p>
                                <w:p w:rsidR="00813A59" w:rsidRPr="00673125" w:rsidRDefault="00813A59" w:rsidP="0015288B">
                                  <w:pPr>
                                    <w:pStyle w:val="Paragraphedeliste"/>
                                    <w:numPr>
                                      <w:ilvl w:val="0"/>
                                      <w:numId w:val="27"/>
                                    </w:numPr>
                                    <w:spacing w:after="0"/>
                                    <w:rPr>
                                      <w:sz w:val="18"/>
                                    </w:rPr>
                                  </w:pPr>
                                  <w:r w:rsidRPr="00673125">
                                    <w:rPr>
                                      <w:sz w:val="18"/>
                                    </w:rPr>
                                    <w:t>1 service national de la Médecine de Travail</w:t>
                                  </w:r>
                                </w:p>
                                <w:p w:rsidR="00813A59" w:rsidRPr="00BB629E" w:rsidRDefault="00813A59" w:rsidP="00BB629E">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465826" y="1871932"/>
                                <a:ext cx="1783080" cy="776378"/>
                              </a:xfrm>
                              <a:prstGeom prst="rect">
                                <a:avLst/>
                              </a:prstGeom>
                              <a:solidFill>
                                <a:schemeClr val="accent2">
                                  <a:lumMod val="40000"/>
                                  <a:lumOff val="60000"/>
                                </a:schemeClr>
                              </a:solidFill>
                              <a:ln w="28575">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R="00813A59" w:rsidRPr="00BB629E" w:rsidRDefault="00813A59" w:rsidP="0015288B">
                                  <w:pPr>
                                    <w:pStyle w:val="Paragraphedeliste"/>
                                    <w:numPr>
                                      <w:ilvl w:val="0"/>
                                      <w:numId w:val="27"/>
                                    </w:numPr>
                                    <w:spacing w:after="0"/>
                                    <w:rPr>
                                      <w:sz w:val="18"/>
                                    </w:rPr>
                                  </w:pPr>
                                  <w:r>
                                    <w:rPr>
                                      <w:sz w:val="18"/>
                                    </w:rPr>
                                    <w:t>8 directions régionales de la santé (DRS), y compris la Direction de la Sante de la ville de Conakry (</w:t>
                                  </w:r>
                                  <w:proofErr w:type="spellStart"/>
                                  <w:r>
                                    <w:rPr>
                                      <w:sz w:val="18"/>
                                    </w:rPr>
                                    <w:t>DSVCo</w:t>
                                  </w:r>
                                  <w:proofErr w:type="spellEnd"/>
                                  <w:r>
                                    <w:rPr>
                                      <w:sz w:val="18"/>
                                    </w:rPr>
                                    <w:t>)</w:t>
                                  </w:r>
                                </w:p>
                                <w:p w:rsidR="00813A59" w:rsidRPr="00673125" w:rsidRDefault="00813A59" w:rsidP="00673125">
                                  <w:pPr>
                                    <w:pStyle w:val="Paragraphedeliste"/>
                                    <w:spacing w:after="0"/>
                                    <w:ind w:left="360"/>
                                    <w:rPr>
                                      <w:sz w:val="18"/>
                                    </w:rPr>
                                  </w:pPr>
                                </w:p>
                                <w:p w:rsidR="00813A59" w:rsidRPr="00BB629E" w:rsidRDefault="00813A59" w:rsidP="0067312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3312543" y="1897812"/>
                                <a:ext cx="1783080" cy="750498"/>
                              </a:xfrm>
                              <a:prstGeom prst="rect">
                                <a:avLst/>
                              </a:prstGeom>
                              <a:solidFill>
                                <a:schemeClr val="accent2">
                                  <a:lumMod val="40000"/>
                                  <a:lumOff val="60000"/>
                                </a:schemeClr>
                              </a:solidFill>
                              <a:ln w="28575">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R="00813A59" w:rsidRPr="00BB629E" w:rsidRDefault="00813A59" w:rsidP="0015288B">
                                  <w:pPr>
                                    <w:pStyle w:val="Paragraphedeliste"/>
                                    <w:numPr>
                                      <w:ilvl w:val="0"/>
                                      <w:numId w:val="27"/>
                                    </w:numPr>
                                    <w:spacing w:after="0"/>
                                    <w:rPr>
                                      <w:sz w:val="18"/>
                                    </w:rPr>
                                  </w:pPr>
                                  <w:r>
                                    <w:rPr>
                                      <w:sz w:val="18"/>
                                    </w:rPr>
                                    <w:t xml:space="preserve">7 </w:t>
                                  </w:r>
                                  <w:r w:rsidRPr="00BB629E">
                                    <w:rPr>
                                      <w:sz w:val="18"/>
                                    </w:rPr>
                                    <w:t>hô</w:t>
                                  </w:r>
                                  <w:r>
                                    <w:rPr>
                                      <w:sz w:val="18"/>
                                    </w:rPr>
                                    <w:t>pitaux régionaux (Pas d’hôpitaux régionaux à Conakry)</w:t>
                                  </w:r>
                                </w:p>
                                <w:p w:rsidR="00813A59" w:rsidRPr="00673125" w:rsidRDefault="00813A59" w:rsidP="00673125">
                                  <w:pPr>
                                    <w:pStyle w:val="Paragraphedeliste"/>
                                    <w:spacing w:after="0"/>
                                    <w:ind w:left="360"/>
                                    <w:rPr>
                                      <w:sz w:val="18"/>
                                    </w:rPr>
                                  </w:pPr>
                                </w:p>
                                <w:p w:rsidR="00813A59" w:rsidRPr="00BB629E" w:rsidRDefault="00813A59" w:rsidP="0067312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465826" y="3433314"/>
                                <a:ext cx="1871345" cy="732790"/>
                              </a:xfrm>
                              <a:prstGeom prst="rect">
                                <a:avLst/>
                              </a:prstGeom>
                              <a:solidFill>
                                <a:schemeClr val="accent2">
                                  <a:lumMod val="40000"/>
                                  <a:lumOff val="60000"/>
                                </a:schemeClr>
                              </a:solidFill>
                              <a:ln w="28575">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R="00813A59" w:rsidRPr="00BB629E" w:rsidRDefault="00813A59" w:rsidP="0015288B">
                                  <w:pPr>
                                    <w:pStyle w:val="Paragraphedeliste"/>
                                    <w:numPr>
                                      <w:ilvl w:val="0"/>
                                      <w:numId w:val="27"/>
                                    </w:numPr>
                                    <w:spacing w:after="0"/>
                                    <w:rPr>
                                      <w:sz w:val="18"/>
                                    </w:rPr>
                                  </w:pPr>
                                  <w:r w:rsidRPr="001C13CE">
                                    <w:rPr>
                                      <w:sz w:val="18"/>
                                    </w:rPr>
                                    <w:t>38 Districts sanitaires (y compris les 5 communes de Conakry)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3347049" y="3105510"/>
                                <a:ext cx="1783080" cy="1060450"/>
                              </a:xfrm>
                              <a:prstGeom prst="rect">
                                <a:avLst/>
                              </a:prstGeom>
                              <a:solidFill>
                                <a:schemeClr val="accent2">
                                  <a:lumMod val="40000"/>
                                  <a:lumOff val="60000"/>
                                </a:schemeClr>
                              </a:solidFill>
                              <a:ln w="28575">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R="00813A59" w:rsidRPr="00BB629E" w:rsidRDefault="00813A59" w:rsidP="0015288B">
                                  <w:pPr>
                                    <w:pStyle w:val="Paragraphedeliste"/>
                                    <w:numPr>
                                      <w:ilvl w:val="0"/>
                                      <w:numId w:val="27"/>
                                    </w:numPr>
                                    <w:spacing w:after="0"/>
                                    <w:rPr>
                                      <w:sz w:val="18"/>
                                    </w:rPr>
                                  </w:pPr>
                                  <w:r>
                                    <w:rPr>
                                      <w:sz w:val="18"/>
                                    </w:rPr>
                                    <w:t xml:space="preserve">38 </w:t>
                                  </w:r>
                                  <w:r w:rsidRPr="00BB629E">
                                    <w:rPr>
                                      <w:sz w:val="18"/>
                                    </w:rPr>
                                    <w:t>hô</w:t>
                                  </w:r>
                                  <w:r>
                                    <w:rPr>
                                      <w:sz w:val="18"/>
                                    </w:rPr>
                                    <w:t xml:space="preserve">pitaux Préfectoraux/HD/CMC </w:t>
                                  </w:r>
                                  <w:r w:rsidRPr="00BB629E">
                                    <w:rPr>
                                      <w:sz w:val="18"/>
                                    </w:rPr>
                                    <w:t xml:space="preserve"> </w:t>
                                  </w:r>
                                </w:p>
                                <w:p w:rsidR="00813A59" w:rsidRDefault="00813A59" w:rsidP="0015288B">
                                  <w:pPr>
                                    <w:pStyle w:val="Paragraphedeliste"/>
                                    <w:numPr>
                                      <w:ilvl w:val="0"/>
                                      <w:numId w:val="27"/>
                                    </w:numPr>
                                    <w:spacing w:after="0"/>
                                    <w:rPr>
                                      <w:sz w:val="18"/>
                                    </w:rPr>
                                  </w:pPr>
                                  <w:r w:rsidRPr="001C13CE">
                                    <w:rPr>
                                      <w:sz w:val="18"/>
                                    </w:rPr>
                                    <w:t>410 centres de santé</w:t>
                                  </w:r>
                                </w:p>
                                <w:p w:rsidR="00813A59" w:rsidRDefault="00813A59" w:rsidP="0015288B">
                                  <w:pPr>
                                    <w:pStyle w:val="Paragraphedeliste"/>
                                    <w:numPr>
                                      <w:ilvl w:val="0"/>
                                      <w:numId w:val="27"/>
                                    </w:numPr>
                                    <w:spacing w:after="0"/>
                                    <w:rPr>
                                      <w:sz w:val="18"/>
                                    </w:rPr>
                                  </w:pPr>
                                  <w:r>
                                    <w:rPr>
                                      <w:sz w:val="18"/>
                                    </w:rPr>
                                    <w:t xml:space="preserve">925 postes de </w:t>
                                  </w:r>
                                  <w:r w:rsidRPr="001C13CE">
                                    <w:rPr>
                                      <w:sz w:val="18"/>
                                    </w:rPr>
                                    <w:t>santé</w:t>
                                  </w:r>
                                </w:p>
                                <w:p w:rsidR="00813A59" w:rsidRDefault="00813A59" w:rsidP="0015288B">
                                  <w:pPr>
                                    <w:pStyle w:val="Paragraphedeliste"/>
                                    <w:numPr>
                                      <w:ilvl w:val="0"/>
                                      <w:numId w:val="27"/>
                                    </w:numPr>
                                    <w:spacing w:after="0"/>
                                    <w:rPr>
                                      <w:sz w:val="18"/>
                                    </w:rPr>
                                  </w:pPr>
                                  <w:r>
                                    <w:rPr>
                                      <w:sz w:val="18"/>
                                    </w:rPr>
                                    <w:t>41 cliniques privées</w:t>
                                  </w:r>
                                </w:p>
                                <w:p w:rsidR="00813A59" w:rsidRPr="001C13CE" w:rsidRDefault="00813A59" w:rsidP="0015288B">
                                  <w:pPr>
                                    <w:pStyle w:val="Paragraphedeliste"/>
                                    <w:numPr>
                                      <w:ilvl w:val="0"/>
                                      <w:numId w:val="27"/>
                                    </w:numPr>
                                    <w:spacing w:after="0"/>
                                    <w:rPr>
                                      <w:sz w:val="18"/>
                                    </w:rPr>
                                  </w:pPr>
                                  <w:r>
                                    <w:rPr>
                                      <w:sz w:val="18"/>
                                    </w:rPr>
                                    <w:t>106 cabinets de 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Straight Connector 80"/>
                            <wps:cNvCnPr/>
                            <wps:spPr>
                              <a:xfrm>
                                <a:off x="0" y="1613140"/>
                                <a:ext cx="509524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17253" y="1664898"/>
                                <a:ext cx="313690" cy="1224951"/>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A59" w:rsidRPr="00255F59" w:rsidRDefault="00813A59" w:rsidP="003E1CD8">
                                  <w:pPr>
                                    <w:jc w:val="center"/>
                                    <w:rPr>
                                      <w:sz w:val="20"/>
                                    </w:rPr>
                                  </w:pPr>
                                  <w:r>
                                    <w:rPr>
                                      <w:sz w:val="20"/>
                                    </w:rPr>
                                    <w:t>Niveau  Intermédiaire</w:t>
                                  </w:r>
                                </w:p>
                                <w:p w:rsidR="00813A59" w:rsidRDefault="00813A59" w:rsidP="003E1CD8">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2" name="Straight Connector 82"/>
                            <wps:cNvCnPr/>
                            <wps:spPr>
                              <a:xfrm>
                                <a:off x="8626" y="2924355"/>
                                <a:ext cx="509524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3" name="Text Box 83"/>
                            <wps:cNvSpPr txBox="1"/>
                            <wps:spPr>
                              <a:xfrm>
                                <a:off x="34506" y="2958861"/>
                                <a:ext cx="313690" cy="1224951"/>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A59" w:rsidRPr="00255F59" w:rsidRDefault="00813A59" w:rsidP="003E1CD8">
                                  <w:pPr>
                                    <w:jc w:val="center"/>
                                    <w:rPr>
                                      <w:sz w:val="20"/>
                                    </w:rPr>
                                  </w:pPr>
                                  <w:r>
                                    <w:rPr>
                                      <w:sz w:val="20"/>
                                    </w:rPr>
                                    <w:t>Niveau  Périphérique</w:t>
                                  </w:r>
                                </w:p>
                                <w:p w:rsidR="00813A59" w:rsidRDefault="00813A59" w:rsidP="003E1CD8">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4" name="Straight Connector 84"/>
                            <wps:cNvCnPr/>
                            <wps:spPr>
                              <a:xfrm>
                                <a:off x="25879" y="4192438"/>
                                <a:ext cx="509524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90" o:spid="_x0000_s1044" style="position:absolute;left:0;text-align:left;margin-left:32.3pt;margin-top:8.3pt;width:416.35pt;height:352.5pt;z-index:251741696" coordsize="52878,4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">
                <v:rect id="Rectangle 88" o:spid="_x0000_s1045" style="position:absolute;width:52878;height:44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Iu8IA&#10;AADbAAAADwAAAGRycy9kb3ducmV2LnhtbERPz2vCMBS+C/sfwhO8aeoOUjqjjIFjiiBWB9vtrXlr&#10;uzUvJYlt/e/NQfD48f1ergfTiI6cry0rmM8SEMSF1TWXCs6nzTQF4QOyxsYyKbiSh/XqabTETNue&#10;j9TloRQxhH2GCqoQ2kxKX1Rk0M9sSxy5X+sMhghdKbXDPoabRj4nyUIarDk2VNjSW0XFf34xCk65&#10;/3vffbvPbrf9OXwlabPv841Sk/Hw+gIi0BAe4rv7QytI49j4Jf4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ci7wgAAANsAAAAPAAAAAAAAAAAAAAAAAJgCAABkcnMvZG93&#10;bnJldi54bWxQSwUGAAAAAAQABAD1AAAAhwMAAAAA&#10;" fillcolor="#deeaf6 [660]" stroked="f" strokeweight="1pt"/>
                <v:group id="Group 87" o:spid="_x0000_s1046" style="position:absolute;left:776;top:1552;width:51295;height:41923" coordsize="51301,4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Straight Connector 75" o:spid="_x0000_s1047" style="position:absolute;flip:x;visibility:visible;mso-wrap-style:square" from="12680,3364" to="12680,3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Opb8QAAADbAAAADwAAAGRycy9kb3ducmV2LnhtbESPT2sCMRTE7wW/Q3hCL6Vm/VdlNYpU&#10;Cr26SunxkTyzi5uXZRPdtZ++KRQ8DjPzG2a97V0tbtSGyrOC8SgDQay9qdgqOB0/XpcgQkQ2WHsm&#10;BXcKsN0MntaYG9/xgW5FtCJBOOSooIyxyaUMuiSHYeQb4uSdfeswJtlaaVrsEtzVcpJlb9JhxWmh&#10;xIbeS9KX4uoUFLNxd5zOvm2v9f7r5WdqJ5dDp9TzsN+tQETq4yP83/40ChZz+Pu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6lvxAAAANsAAAAPAAAAAAAAAAAA&#10;AAAAAKECAABkcnMvZG93bnJldi54bWxQSwUGAAAAAAQABAD5AAAAkgMAAAAA&#10;" strokecolor="#7b7b7b [2406]" strokeweight="6pt">
                    <v:stroke joinstyle="miter"/>
                  </v:line>
                  <v:line id="Straight Connector 78" o:spid="_x0000_s1048" style="position:absolute;flip:x;visibility:visible;mso-wrap-style:square" from="41751,3105" to="41838,3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G8cEAAADbAAAADwAAAGRycy9kb3ducmV2LnhtbERPW2vCMBR+H/gfwhH2MjT1wpRqFNkY&#10;+Gorw8dDckyLzUlpou32683DYI8f3327H1wjHtSF2rOC2TQDQay9qdkqOJdfkzWIEJENNp5JwQ8F&#10;2O9GL1vMje/5RI8iWpFCOOSooIqxzaUMuiKHYepb4sRdfecwJthZaTrsU7hr5DzL3qXDmlNDhS19&#10;VKRvxd0pKJazvlwsL3bQ+vP77Xdh57dTr9TreDhsQEQa4r/4z300ClZpbPqSfoD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kgbxwQAAANsAAAAPAAAAAAAAAAAAAAAA&#10;AKECAABkcnMvZG93bnJldi54bWxQSwUGAAAAAAQABAD5AAAAjwMAAAAA&#10;" strokecolor="#7b7b7b [2406]" strokeweight="6pt">
                    <v:stroke joinstyle="miter"/>
                  </v:line>
                  <v:group id="Group 86" o:spid="_x0000_s1049" style="position:absolute;width:51301;height:41924" coordsize="51301,4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type id="_x0000_t127" coordsize="21600,21600" o:spt="127" path="m10800,l21600,21600,,21600xe">
                      <v:stroke joinstyle="miter"/>
                      <v:path gradientshapeok="t" o:connecttype="custom" o:connectlocs="10800,0;5400,10800;10800,21600;16200,10800" textboxrect="5400,10800,16200,21600"/>
                    </v:shapetype>
                    <v:shape id="Flowchart: Extract 29" o:spid="_x0000_s1050" type="#_x0000_t127" style="position:absolute;left:12853;top:4313;width:28207;height:37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DtcQA&#10;AADbAAAADwAAAGRycy9kb3ducmV2LnhtbESPzWrDMBCE74W8g9hAb42cHNzWiRJCINCe6jrNIbfF&#10;2lhOrJWxVP+8fVUo9DjMzDfMZjfaRvTU+dqxguUiAUFcOl1zpeDrdHx6AeEDssbGMSmYyMNuO3vY&#10;YKbdwJ/UF6ESEcI+QwUmhDaT0peGLPqFa4mjd3WdxRBlV0nd4RDhtpGrJEmlxZrjgsGWDobKe/Ft&#10;FTge8vzjdLZTOjwb/3477KdLrdTjfNyvQQQaw3/4r/2mFaxe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w7XEAAAA2wAAAA8AAAAAAAAAAAAAAAAAmAIAAGRycy9k&#10;b3ducmV2LnhtbFBLBQYAAAAABAAEAPUAAACJAwAAAAA=&#10;" fillcolor="gray [1629]" strokecolor="white [3212]" strokeweight="3pt">
                      <v:textbox style="layout-flow:vertical;mso-layout-flow-alt:bottom-to-top">
                        <w:txbxContent>
                          <w:p w:rsidR="004A3175" w:rsidRPr="00175812" w:rsidRDefault="004A3175" w:rsidP="00175812">
                            <w:pPr>
                              <w:jc w:val="center"/>
                              <w:rPr>
                                <w:b/>
                                <w:sz w:val="32"/>
                              </w:rPr>
                            </w:pPr>
                          </w:p>
                        </w:txbxContent>
                      </v:textbox>
                    </v:shape>
                    <v:shape id="Text Box 6212" o:spid="_x0000_s1051" type="#_x0000_t202" style="position:absolute;left:86;top:3968;width:3137;height:1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UfMUA&#10;AADdAAAADwAAAGRycy9kb3ducmV2LnhtbESP0YrCMBRE3xf8h3AFX0RTi5SlGkUUwRdX1vUDrs21&#10;LTY3pYm2+vUbQfBxmJkzzHzZmUrcqXGlZQWTcQSCOLO65FzB6W87+gbhPLLGyjIpeJCD5aL3NcdU&#10;25Z/6X70uQgQdikqKLyvUyldVpBBN7Y1cfAutjHog2xyqRtsA9xUMo6iRBosOSwUWNO6oOx6vBkF&#10;rTxd8/g5PW+i7DkcJvo2Pex/lBr0u9UMhKfOf8Lv9k4rSOJJDK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xR8xQAAAN0AAAAPAAAAAAAAAAAAAAAAAJgCAABkcnMv&#10;ZG93bnJldi54bWxQSwUGAAAAAAQABAD1AAAAigMAAAAA&#10;" fillcolor="#bfbfbf [2412]" stroked="f" strokeweight=".5pt">
                      <v:textbox style="layout-flow:vertical;mso-layout-flow-alt:bottom-to-top">
                        <w:txbxContent>
                          <w:p w:rsidR="004A3175" w:rsidRPr="00255F59" w:rsidRDefault="004A3175" w:rsidP="00431B9D">
                            <w:pPr>
                              <w:jc w:val="center"/>
                              <w:rPr>
                                <w:sz w:val="20"/>
                              </w:rPr>
                            </w:pPr>
                            <w:r>
                              <w:rPr>
                                <w:sz w:val="20"/>
                              </w:rPr>
                              <w:t xml:space="preserve">Niveau  </w:t>
                            </w:r>
                            <w:r w:rsidRPr="00255F59">
                              <w:rPr>
                                <w:sz w:val="20"/>
                              </w:rPr>
                              <w:t>Central</w:t>
                            </w:r>
                          </w:p>
                          <w:p w:rsidR="004A3175" w:rsidRDefault="004A3175" w:rsidP="00431B9D">
                            <w:pPr>
                              <w:jc w:val="center"/>
                            </w:pPr>
                          </w:p>
                        </w:txbxContent>
                      </v:textbox>
                    </v:shape>
                    <v:shape id="Text Box 6215" o:spid="_x0000_s1052" type="#_x0000_t202" style="position:absolute;left:3450;width:19921;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nH8UA&#10;AADdAAAADwAAAGRycy9kb3ducmV2LnhtbESPQWvCQBSE7wX/w/KE3nSTiFJSV6mKpYiXqkiPj+xr&#10;Es2+Dbtbjf/eFYQeh5n5hpnOO9OICzlfW1aQDhMQxIXVNZcKDvv14A2ED8gaG8uk4EYe5rPeyxRz&#10;ba/8TZddKEWEsM9RQRVCm0vpi4oM+qFtiaP3a53BEKUrpXZ4jXDTyCxJJtJgzXGhwpaWFRXn3Z9R&#10;gIuVSz9Hi/NP1mbb08Ydj3QySr32u493EIG68B9+tr+0gkmWju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qcfxQAAAN0AAAAPAAAAAAAAAAAAAAAAAJgCAABkcnMv&#10;ZG93bnJldi54bWxQSwUGAAAAAAQABAD1AAAAigMAAAAA&#10;" fillcolor="#fbe4d5 [661]" strokecolor="black [3213]" strokeweight="1.5pt">
                      <v:textbox>
                        <w:txbxContent>
                          <w:p w:rsidR="004A3175" w:rsidRPr="00673125" w:rsidRDefault="004A3175" w:rsidP="00431B9D">
                            <w:pPr>
                              <w:rPr>
                                <w:sz w:val="18"/>
                              </w:rPr>
                            </w:pPr>
                            <w:r w:rsidRPr="00673125">
                              <w:rPr>
                                <w:sz w:val="18"/>
                              </w:rPr>
                              <w:t>STRUCTURES ADMINISTRATIVES</w:t>
                            </w:r>
                          </w:p>
                        </w:txbxContent>
                      </v:textbox>
                    </v:shape>
                    <v:shape id="Text Box 6216" o:spid="_x0000_s1053" type="#_x0000_t202" style="position:absolute;left:32952;top:86;width:1800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5aMUA&#10;AADdAAAADwAAAGRycy9kb3ducmV2LnhtbESPT2vCQBTE7wW/w/IEb3WTCKFEV/EPFSm9VEU8PrLP&#10;JJp9G3a3mn77bqHgcZiZ3zCzRW9acSfnG8sK0nECgri0uuFKwfHw/voGwgdkja1lUvBDHhbzwcsM&#10;C20f/EX3fahEhLAvUEEdQldI6cuaDPqx7Yijd7HOYIjSVVI7fES4aWWWJLk02HBcqLGjdU3lbf9t&#10;FOBq49LtZHU7Z132ef1wpxNdjVKjYb+cggjUh2f4v73TCvIsze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DloxQAAAN0AAAAPAAAAAAAAAAAAAAAAAJgCAABkcnMv&#10;ZG93bnJldi54bWxQSwUGAAAAAAQABAD1AAAAigMAAAAA&#10;" fillcolor="#fbe4d5 [661]" strokecolor="black [3213]" strokeweight="1.5pt">
                      <v:textbox>
                        <w:txbxContent>
                          <w:p w:rsidR="004A3175" w:rsidRPr="00BB629E" w:rsidRDefault="004A3175" w:rsidP="00BB629E">
                            <w:pPr>
                              <w:jc w:val="center"/>
                              <w:rPr>
                                <w:sz w:val="18"/>
                              </w:rPr>
                            </w:pPr>
                            <w:r w:rsidRPr="00BB629E">
                              <w:rPr>
                                <w:sz w:val="18"/>
                              </w:rPr>
                              <w:t>STRUCTURES DE SOINS</w:t>
                            </w:r>
                          </w:p>
                        </w:txbxContent>
                      </v:textbox>
                    </v:shape>
                    <v:shape id="Text Box 6263" o:spid="_x0000_s1054" type="#_x0000_t202" style="position:absolute;left:4140;top:5089;width:17507;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kScYA&#10;AADdAAAADwAAAGRycy9kb3ducmV2LnhtbESPQWsCMRSE70L/Q3gFb5pV6bJsjWIFRUov2l56e2ye&#10;u6ubl20SNf77plDwOMzMN8x8GU0nruR8a1nBZJyBIK6sbrlW8PW5GRUgfEDW2FkmBXfysFw8DeZY&#10;anvjPV0PoRYJwr5EBU0IfSmlrxoy6Me2J07e0TqDIUlXS+3wluCmk9Msy6XBltNCgz2tG6rOh4tR&#10;8NJOXKy28X378bY6rk/fWOyLH6WGz3H1CiJQDI/wf3unFeTTfAZ/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5kScYAAADdAAAADwAAAAAAAAAAAAAAAACYAgAAZHJz&#10;L2Rvd25yZXYueG1sUEsFBgAAAAAEAAQA9QAAAIsDAAAAAA==&#10;" fillcolor="#f7caac [1301]" strokecolor="white [3212]" strokeweight="2.25pt">
                      <v:textbox>
                        <w:txbxContent>
                          <w:p w:rsidR="004A3175" w:rsidRPr="00BB629E" w:rsidRDefault="004A3175" w:rsidP="0015288B">
                            <w:pPr>
                              <w:pStyle w:val="Paragraphedeliste"/>
                              <w:numPr>
                                <w:ilvl w:val="0"/>
                                <w:numId w:val="27"/>
                              </w:numPr>
                              <w:spacing w:after="0"/>
                              <w:rPr>
                                <w:sz w:val="18"/>
                              </w:rPr>
                            </w:pPr>
                            <w:r w:rsidRPr="00BB629E">
                              <w:rPr>
                                <w:sz w:val="18"/>
                              </w:rPr>
                              <w:t>Cabinet du Ministre de la Sante</w:t>
                            </w:r>
                          </w:p>
                          <w:p w:rsidR="004A3175" w:rsidRPr="00BB629E" w:rsidRDefault="004A3175" w:rsidP="0015288B">
                            <w:pPr>
                              <w:pStyle w:val="Paragraphedeliste"/>
                              <w:numPr>
                                <w:ilvl w:val="0"/>
                                <w:numId w:val="27"/>
                              </w:numPr>
                              <w:spacing w:after="0"/>
                              <w:rPr>
                                <w:sz w:val="18"/>
                              </w:rPr>
                            </w:pPr>
                            <w:r>
                              <w:rPr>
                                <w:sz w:val="18"/>
                              </w:rPr>
                              <w:t xml:space="preserve">1 </w:t>
                            </w:r>
                            <w:r w:rsidRPr="00BB629E">
                              <w:rPr>
                                <w:sz w:val="18"/>
                              </w:rPr>
                              <w:t>Secrétariat General</w:t>
                            </w:r>
                          </w:p>
                          <w:p w:rsidR="004A3175" w:rsidRPr="00BB629E" w:rsidRDefault="004A3175" w:rsidP="0015288B">
                            <w:pPr>
                              <w:pStyle w:val="Paragraphedeliste"/>
                              <w:numPr>
                                <w:ilvl w:val="0"/>
                                <w:numId w:val="27"/>
                              </w:numPr>
                              <w:spacing w:after="0"/>
                              <w:rPr>
                                <w:sz w:val="18"/>
                              </w:rPr>
                            </w:pPr>
                            <w:r w:rsidRPr="00BB629E">
                              <w:rPr>
                                <w:sz w:val="18"/>
                              </w:rPr>
                              <w:t>4 directions nationales</w:t>
                            </w:r>
                          </w:p>
                          <w:p w:rsidR="004A3175" w:rsidRPr="00BB629E" w:rsidRDefault="004A3175" w:rsidP="0015288B">
                            <w:pPr>
                              <w:pStyle w:val="Paragraphedeliste"/>
                              <w:numPr>
                                <w:ilvl w:val="0"/>
                                <w:numId w:val="27"/>
                              </w:numPr>
                              <w:spacing w:after="0"/>
                              <w:rPr>
                                <w:sz w:val="18"/>
                              </w:rPr>
                            </w:pPr>
                            <w:r w:rsidRPr="004E1721">
                              <w:rPr>
                                <w:sz w:val="18"/>
                              </w:rPr>
                              <w:t xml:space="preserve">10 </w:t>
                            </w:r>
                            <w:r w:rsidRPr="00BB629E">
                              <w:rPr>
                                <w:sz w:val="18"/>
                              </w:rPr>
                              <w:t>programmes nationaux</w:t>
                            </w:r>
                          </w:p>
                          <w:p w:rsidR="004A3175" w:rsidRPr="00BB629E" w:rsidRDefault="004A3175" w:rsidP="00431B9D">
                            <w:pPr>
                              <w:rPr>
                                <w:sz w:val="18"/>
                              </w:rPr>
                            </w:pPr>
                          </w:p>
                          <w:p w:rsidR="004A3175" w:rsidRPr="00BB629E" w:rsidRDefault="004A3175" w:rsidP="00431B9D">
                            <w:pPr>
                              <w:rPr>
                                <w:sz w:val="18"/>
                              </w:rPr>
                            </w:pPr>
                          </w:p>
                        </w:txbxContent>
                      </v:textbox>
                    </v:shape>
                    <v:shape id="Text Box 67" o:spid="_x0000_s1055" type="#_x0000_t202" style="position:absolute;left:32952;top:3881;width:17831;height:1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WQ8QA&#10;AADbAAAADwAAAGRycy9kb3ducmV2LnhtbESPT2sCMRTE7wW/Q3hCbzVroXZZjaKCUooX/1y8PTbP&#10;3dXNyzaJmn77Rih4HGbmN8xkFk0rbuR8Y1nBcJCBIC6tbrhScNiv3nIQPiBrbC2Tgl/yMJv2XiZY&#10;aHvnLd12oRIJwr5ABXUIXSGlL2sy6Ae2I07eyTqDIUlXSe3wnuCmle9ZNpIGG04LNXa0rKm87K5G&#10;wUczdLFcx+/1ZjE/Lc9HzLf5j1Kv/TgfgwgUwzP83/7SCkaf8Pi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FkPEAAAA2wAAAA8AAAAAAAAAAAAAAAAAmAIAAGRycy9k&#10;b3ducmV2LnhtbFBLBQYAAAAABAAEAPUAAACJAwAAAAA=&#10;" fillcolor="#f7caac [1301]" strokecolor="white [3212]" strokeweight="2.25pt">
                      <v:textbox>
                        <w:txbxContent>
                          <w:p w:rsidR="004A3175" w:rsidRPr="00BB629E" w:rsidRDefault="004A3175" w:rsidP="0015288B">
                            <w:pPr>
                              <w:pStyle w:val="Paragraphedeliste"/>
                              <w:numPr>
                                <w:ilvl w:val="0"/>
                                <w:numId w:val="27"/>
                              </w:numPr>
                              <w:spacing w:after="0"/>
                              <w:rPr>
                                <w:sz w:val="18"/>
                              </w:rPr>
                            </w:pPr>
                            <w:r w:rsidRPr="00BB629E">
                              <w:rPr>
                                <w:sz w:val="18"/>
                              </w:rPr>
                              <w:t xml:space="preserve">3 hôpitaux nationaux </w:t>
                            </w:r>
                          </w:p>
                          <w:p w:rsidR="004A3175" w:rsidRPr="00BB629E" w:rsidRDefault="004A3175" w:rsidP="0015288B">
                            <w:pPr>
                              <w:pStyle w:val="Paragraphedeliste"/>
                              <w:numPr>
                                <w:ilvl w:val="0"/>
                                <w:numId w:val="27"/>
                              </w:numPr>
                              <w:spacing w:after="0"/>
                              <w:rPr>
                                <w:sz w:val="18"/>
                              </w:rPr>
                            </w:pPr>
                            <w:r>
                              <w:rPr>
                                <w:sz w:val="18"/>
                              </w:rPr>
                              <w:t>01</w:t>
                            </w:r>
                            <w:r w:rsidRPr="00BB629E">
                              <w:rPr>
                                <w:sz w:val="18"/>
                              </w:rPr>
                              <w:t xml:space="preserve"> institut National de la sante de l’Enfant (INSE),</w:t>
                            </w:r>
                          </w:p>
                          <w:p w:rsidR="004A3175" w:rsidRPr="00BB629E" w:rsidRDefault="004A3175" w:rsidP="0015288B">
                            <w:pPr>
                              <w:pStyle w:val="Paragraphedeliste"/>
                              <w:numPr>
                                <w:ilvl w:val="0"/>
                                <w:numId w:val="27"/>
                              </w:numPr>
                              <w:spacing w:after="0"/>
                              <w:rPr>
                                <w:sz w:val="18"/>
                              </w:rPr>
                            </w:pPr>
                            <w:r w:rsidRPr="00BB629E">
                              <w:rPr>
                                <w:sz w:val="18"/>
                              </w:rPr>
                              <w:t>1 Laboratoire National de référence</w:t>
                            </w:r>
                          </w:p>
                          <w:p w:rsidR="004A3175" w:rsidRPr="00673125" w:rsidRDefault="004A3175" w:rsidP="0015288B">
                            <w:pPr>
                              <w:pStyle w:val="Paragraphedeliste"/>
                              <w:numPr>
                                <w:ilvl w:val="0"/>
                                <w:numId w:val="27"/>
                              </w:numPr>
                              <w:spacing w:after="0"/>
                              <w:rPr>
                                <w:sz w:val="18"/>
                              </w:rPr>
                            </w:pPr>
                            <w:r w:rsidRPr="00673125">
                              <w:rPr>
                                <w:sz w:val="18"/>
                              </w:rPr>
                              <w:t>1 service national de la Médecine de Travail</w:t>
                            </w:r>
                          </w:p>
                          <w:p w:rsidR="004A3175" w:rsidRPr="00BB629E" w:rsidRDefault="004A3175" w:rsidP="00BB629E">
                            <w:pPr>
                              <w:rPr>
                                <w:sz w:val="18"/>
                              </w:rPr>
                            </w:pPr>
                          </w:p>
                        </w:txbxContent>
                      </v:textbox>
                    </v:shape>
                    <v:shape id="Text Box 68" o:spid="_x0000_s1056" type="#_x0000_t202" style="position:absolute;left:4658;top:18719;width:17831;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CMcAA&#10;AADbAAAADwAAAGRycy9kb3ducmV2LnhtbERPy4rCMBTdC/MP4Q7MTlOFkVKN4gjKIG58bNxdmmtb&#10;bW46SUbj35uF4PJw3tN5NK24kfONZQXDQQaCuLS64UrB8bDq5yB8QNbYWiYFD/Iwn330plhoe+cd&#10;3fahEimEfYEK6hC6Qkpf1mTQD2xHnLizdQZDgq6S2uE9hZtWjrJsLA02nBpq7GhZU3nd/xsF383Q&#10;xXIdN+vtz+K8vJww3+V/Sn19xsUERKAY3uKX+1crGKex6Uv6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CCMcAAAADbAAAADwAAAAAAAAAAAAAAAACYAgAAZHJzL2Rvd25y&#10;ZXYueG1sUEsFBgAAAAAEAAQA9QAAAIUDAAAAAA==&#10;" fillcolor="#f7caac [1301]" strokecolor="white [3212]" strokeweight="2.25pt">
                      <v:textbox>
                        <w:txbxContent>
                          <w:p w:rsidR="004A3175" w:rsidRPr="00BB629E" w:rsidRDefault="004A3175" w:rsidP="0015288B">
                            <w:pPr>
                              <w:pStyle w:val="Paragraphedeliste"/>
                              <w:numPr>
                                <w:ilvl w:val="0"/>
                                <w:numId w:val="27"/>
                              </w:numPr>
                              <w:spacing w:after="0"/>
                              <w:rPr>
                                <w:sz w:val="18"/>
                              </w:rPr>
                            </w:pPr>
                            <w:r>
                              <w:rPr>
                                <w:sz w:val="18"/>
                              </w:rPr>
                              <w:t>8 directions régionales de la santé (DRS), y compris la Direction de la Sante de la ville de Conakry (DSVCo)</w:t>
                            </w:r>
                          </w:p>
                          <w:p w:rsidR="004A3175" w:rsidRPr="00673125" w:rsidRDefault="004A3175" w:rsidP="00673125">
                            <w:pPr>
                              <w:pStyle w:val="Paragraphedeliste"/>
                              <w:spacing w:after="0"/>
                              <w:ind w:left="360"/>
                              <w:rPr>
                                <w:sz w:val="18"/>
                              </w:rPr>
                            </w:pPr>
                          </w:p>
                          <w:p w:rsidR="004A3175" w:rsidRPr="00BB629E" w:rsidRDefault="004A3175" w:rsidP="00673125">
                            <w:pPr>
                              <w:rPr>
                                <w:sz w:val="18"/>
                              </w:rPr>
                            </w:pPr>
                          </w:p>
                        </w:txbxContent>
                      </v:textbox>
                    </v:shape>
                    <v:shape id="Text Box 69" o:spid="_x0000_s1057" type="#_x0000_t202" style="position:absolute;left:33125;top:18978;width:17831;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qsQA&#10;AADbAAAADwAAAGRycy9kb3ducmV2LnhtbESPQWsCMRSE7wX/Q3hCbzVrQVlXo6hQKdKL1ou3x+a5&#10;u7p5WZOo8d83hUKPw8x8w8wW0bTiTs43lhUMBxkI4tLqhisFh++PtxyED8gaW8uk4EkeFvPeywwL&#10;bR+8o/s+VCJB2BeooA6hK6T0ZU0G/cB2xMk7WWcwJOkqqR0+Ety08j3LxtJgw2mhxo7WNZWX/c0o&#10;GDVDF8tN3G6+VsvT+nzEfJdflXrtx+UURKAY/sN/7U+tYDyB3y/p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6rEAAAA2wAAAA8AAAAAAAAAAAAAAAAAmAIAAGRycy9k&#10;b3ducmV2LnhtbFBLBQYAAAAABAAEAPUAAACJAwAAAAA=&#10;" fillcolor="#f7caac [1301]" strokecolor="white [3212]" strokeweight="2.25pt">
                      <v:textbox>
                        <w:txbxContent>
                          <w:p w:rsidR="004A3175" w:rsidRPr="00BB629E" w:rsidRDefault="004A3175" w:rsidP="0015288B">
                            <w:pPr>
                              <w:pStyle w:val="Paragraphedeliste"/>
                              <w:numPr>
                                <w:ilvl w:val="0"/>
                                <w:numId w:val="27"/>
                              </w:numPr>
                              <w:spacing w:after="0"/>
                              <w:rPr>
                                <w:sz w:val="18"/>
                              </w:rPr>
                            </w:pPr>
                            <w:r>
                              <w:rPr>
                                <w:sz w:val="18"/>
                              </w:rPr>
                              <w:t xml:space="preserve">7 </w:t>
                            </w:r>
                            <w:r w:rsidRPr="00BB629E">
                              <w:rPr>
                                <w:sz w:val="18"/>
                              </w:rPr>
                              <w:t>hô</w:t>
                            </w:r>
                            <w:r>
                              <w:rPr>
                                <w:sz w:val="18"/>
                              </w:rPr>
                              <w:t>pitaux régionaux (Pas d’hôpitaux régionaux à Conakry)</w:t>
                            </w:r>
                          </w:p>
                          <w:p w:rsidR="004A3175" w:rsidRPr="00673125" w:rsidRDefault="004A3175" w:rsidP="00673125">
                            <w:pPr>
                              <w:pStyle w:val="Paragraphedeliste"/>
                              <w:spacing w:after="0"/>
                              <w:ind w:left="360"/>
                              <w:rPr>
                                <w:sz w:val="18"/>
                              </w:rPr>
                            </w:pPr>
                          </w:p>
                          <w:p w:rsidR="004A3175" w:rsidRPr="00BB629E" w:rsidRDefault="004A3175" w:rsidP="00673125">
                            <w:pPr>
                              <w:rPr>
                                <w:sz w:val="18"/>
                              </w:rPr>
                            </w:pPr>
                          </w:p>
                        </w:txbxContent>
                      </v:textbox>
                    </v:shape>
                    <v:shape id="Text Box 70" o:spid="_x0000_s1058" type="#_x0000_t202" style="position:absolute;left:4658;top:34333;width:18713;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8Y6sEA&#10;AADbAAAADwAAAGRycy9kb3ducmV2LnhtbERPy2oCMRTdC/5DuEJ3mrGgHaZmRIVKKd342HR3mdx5&#10;tJObMYma/r1ZFLo8nPdqHU0vbuR8Z1nBfJaBIK6s7rhRcD69TXMQPiBr7C2Tgl/ysC7HoxUW2t75&#10;QLdjaEQKYV+ggjaEoZDSVy0Z9DM7ECeuts5gSNA1Uju8p3DTy+csW0qDHaeGFgfatVT9HK9GwaKb&#10;u1jt48f+c7upd99fmB/yi1JPk7h5BREohn/xn/tdK3hJ69OX9AN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vGOrBAAAA2wAAAA8AAAAAAAAAAAAAAAAAmAIAAGRycy9kb3du&#10;cmV2LnhtbFBLBQYAAAAABAAEAPUAAACGAwAAAAA=&#10;" fillcolor="#f7caac [1301]" strokecolor="white [3212]" strokeweight="2.25pt">
                      <v:textbox>
                        <w:txbxContent>
                          <w:p w:rsidR="004A3175" w:rsidRPr="00BB629E" w:rsidRDefault="004A3175" w:rsidP="0015288B">
                            <w:pPr>
                              <w:pStyle w:val="Paragraphedeliste"/>
                              <w:numPr>
                                <w:ilvl w:val="0"/>
                                <w:numId w:val="27"/>
                              </w:numPr>
                              <w:spacing w:after="0"/>
                              <w:rPr>
                                <w:sz w:val="18"/>
                              </w:rPr>
                            </w:pPr>
                            <w:r w:rsidRPr="001C13CE">
                              <w:rPr>
                                <w:sz w:val="18"/>
                              </w:rPr>
                              <w:t>38 Districts sanitaires (y compris les 5 communes de Conakry)</w:t>
                            </w:r>
                          </w:p>
                        </w:txbxContent>
                      </v:textbox>
                    </v:shape>
                    <v:shape id="Text Box 71" o:spid="_x0000_s1059" type="#_x0000_t202" style="position:absolute;left:33470;top:31055;width:17831;height:10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9ccQA&#10;AADbAAAADwAAAGRycy9kb3ducmV2LnhtbESPQWsCMRSE74L/ITyhNze7heqyNYoKlVJ60fbS22Pz&#10;3N1287Imqab/3hQEj8PMfMMsVtH04kzOd5YVFFkOgri2uuNGwefHy7QE4QOyxt4yKfgjD6vleLTA&#10;StsL7+l8CI1IEPYVKmhDGCopfd2SQZ/ZgTh5R+sMhiRdI7XDS4KbXj7m+Uwa7DgttDjQtqX65/Br&#10;FDx1hYv1Lr7t3jfr4/b7C8t9eVLqYRLXzyACxXAP39qvWsG8gP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vXHEAAAA2wAAAA8AAAAAAAAAAAAAAAAAmAIAAGRycy9k&#10;b3ducmV2LnhtbFBLBQYAAAAABAAEAPUAAACJAwAAAAA=&#10;" fillcolor="#f7caac [1301]" strokecolor="white [3212]" strokeweight="2.25pt">
                      <v:textbox>
                        <w:txbxContent>
                          <w:p w:rsidR="004A3175" w:rsidRPr="00BB629E" w:rsidRDefault="004A3175" w:rsidP="0015288B">
                            <w:pPr>
                              <w:pStyle w:val="Paragraphedeliste"/>
                              <w:numPr>
                                <w:ilvl w:val="0"/>
                                <w:numId w:val="27"/>
                              </w:numPr>
                              <w:spacing w:after="0"/>
                              <w:rPr>
                                <w:sz w:val="18"/>
                              </w:rPr>
                            </w:pPr>
                            <w:r>
                              <w:rPr>
                                <w:sz w:val="18"/>
                              </w:rPr>
                              <w:t xml:space="preserve">38 </w:t>
                            </w:r>
                            <w:r w:rsidRPr="00BB629E">
                              <w:rPr>
                                <w:sz w:val="18"/>
                              </w:rPr>
                              <w:t>hô</w:t>
                            </w:r>
                            <w:r>
                              <w:rPr>
                                <w:sz w:val="18"/>
                              </w:rPr>
                              <w:t xml:space="preserve">pitaux Préfectoraux/HD/CMC </w:t>
                            </w:r>
                            <w:r w:rsidRPr="00BB629E">
                              <w:rPr>
                                <w:sz w:val="18"/>
                              </w:rPr>
                              <w:t xml:space="preserve"> </w:t>
                            </w:r>
                          </w:p>
                          <w:p w:rsidR="004A3175" w:rsidRDefault="004A3175" w:rsidP="0015288B">
                            <w:pPr>
                              <w:pStyle w:val="Paragraphedeliste"/>
                              <w:numPr>
                                <w:ilvl w:val="0"/>
                                <w:numId w:val="27"/>
                              </w:numPr>
                              <w:spacing w:after="0"/>
                              <w:rPr>
                                <w:sz w:val="18"/>
                              </w:rPr>
                            </w:pPr>
                            <w:r w:rsidRPr="001C13CE">
                              <w:rPr>
                                <w:sz w:val="18"/>
                              </w:rPr>
                              <w:t>410 centres de santé</w:t>
                            </w:r>
                          </w:p>
                          <w:p w:rsidR="004A3175" w:rsidRDefault="004A3175" w:rsidP="0015288B">
                            <w:pPr>
                              <w:pStyle w:val="Paragraphedeliste"/>
                              <w:numPr>
                                <w:ilvl w:val="0"/>
                                <w:numId w:val="27"/>
                              </w:numPr>
                              <w:spacing w:after="0"/>
                              <w:rPr>
                                <w:sz w:val="18"/>
                              </w:rPr>
                            </w:pPr>
                            <w:r>
                              <w:rPr>
                                <w:sz w:val="18"/>
                              </w:rPr>
                              <w:t xml:space="preserve">925 postes de </w:t>
                            </w:r>
                            <w:r w:rsidRPr="001C13CE">
                              <w:rPr>
                                <w:sz w:val="18"/>
                              </w:rPr>
                              <w:t>santé</w:t>
                            </w:r>
                          </w:p>
                          <w:p w:rsidR="004A3175" w:rsidRDefault="004A3175" w:rsidP="0015288B">
                            <w:pPr>
                              <w:pStyle w:val="Paragraphedeliste"/>
                              <w:numPr>
                                <w:ilvl w:val="0"/>
                                <w:numId w:val="27"/>
                              </w:numPr>
                              <w:spacing w:after="0"/>
                              <w:rPr>
                                <w:sz w:val="18"/>
                              </w:rPr>
                            </w:pPr>
                            <w:r>
                              <w:rPr>
                                <w:sz w:val="18"/>
                              </w:rPr>
                              <w:t>41 cliniques privées</w:t>
                            </w:r>
                          </w:p>
                          <w:p w:rsidR="004A3175" w:rsidRPr="001C13CE" w:rsidRDefault="004A3175" w:rsidP="0015288B">
                            <w:pPr>
                              <w:pStyle w:val="Paragraphedeliste"/>
                              <w:numPr>
                                <w:ilvl w:val="0"/>
                                <w:numId w:val="27"/>
                              </w:numPr>
                              <w:spacing w:after="0"/>
                              <w:rPr>
                                <w:sz w:val="18"/>
                              </w:rPr>
                            </w:pPr>
                            <w:r>
                              <w:rPr>
                                <w:sz w:val="18"/>
                              </w:rPr>
                              <w:t>106 cabinets de soins</w:t>
                            </w:r>
                          </w:p>
                        </w:txbxContent>
                      </v:textbox>
                    </v:shape>
                    <v:line id="Straight Connector 80" o:spid="_x0000_s1060" style="position:absolute;visibility:visible;mso-wrap-style:square" from="0,16131" to="50952,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cnMEAAADbAAAADwAAAGRycy9kb3ducmV2LnhtbERPz2vCMBS+C/sfwht401QPm+2MMoaF&#10;gTC0buz6aN6asualNDGt/705DHb8+H5v95PtRKTBt44VrJYZCOLa6ZYbBZ+XcrEB4QOyxs4xKbiR&#10;h/3uYbbFQruRzxSr0IgUwr5ABSaEvpDS14Ys+qXriRP34waLIcGhkXrAMYXbTq6z7ElabDk1GOzp&#10;zVD9W12tgtP31+EjX7ny9BwPTd6ZeDxnUan54/T6AiLQFP7Ff+53rWCT1qcv6Q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JycwQAAANsAAAAPAAAAAAAAAAAAAAAA&#10;AKECAABkcnMvZG93bnJldi54bWxQSwUGAAAAAAQABAD5AAAAjwMAAAAA&#10;" strokecolor="#ffc000" strokeweight="2.25pt">
                      <v:stroke joinstyle="miter"/>
                    </v:line>
                    <v:shape id="Text Box 81" o:spid="_x0000_s1061" type="#_x0000_t202" style="position:absolute;left:172;top:16648;width:3137;height:1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qI8QA&#10;AADbAAAADwAAAGRycy9kb3ducmV2LnhtbESP3YrCMBSE7wXfIRzBG9FUEZGuqYjLgjcq/jzAsTnb&#10;ljYnpYm2+vRGWNjLYWa+YVbrzlTiQY0rLCuYTiIQxKnVBWcKrpef8RKE88gaK8uk4EkO1km/t8JY&#10;25ZP9Dj7TAQIuxgV5N7XsZQuzcmgm9iaOHi/tjHog2wyqRtsA9xUchZFC2mw4LCQY03bnNLyfDcK&#10;Wnkts9lrfvuO0tdotND3+XF/UGo46DZfIDx1/j/8195pBcspfL6EHyC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6iPEAAAA2wAAAA8AAAAAAAAAAAAAAAAAmAIAAGRycy9k&#10;b3ducmV2LnhtbFBLBQYAAAAABAAEAPUAAACJAwAAAAA=&#10;" fillcolor="#bfbfbf [2412]" stroked="f" strokeweight=".5pt">
                      <v:textbox style="layout-flow:vertical;mso-layout-flow-alt:bottom-to-top">
                        <w:txbxContent>
                          <w:p w:rsidR="004A3175" w:rsidRPr="00255F59" w:rsidRDefault="004A3175" w:rsidP="003E1CD8">
                            <w:pPr>
                              <w:jc w:val="center"/>
                              <w:rPr>
                                <w:sz w:val="20"/>
                              </w:rPr>
                            </w:pPr>
                            <w:r>
                              <w:rPr>
                                <w:sz w:val="20"/>
                              </w:rPr>
                              <w:t>Niveau  Intermédiaire</w:t>
                            </w:r>
                          </w:p>
                          <w:p w:rsidR="004A3175" w:rsidRDefault="004A3175" w:rsidP="003E1CD8">
                            <w:pPr>
                              <w:jc w:val="center"/>
                            </w:pPr>
                          </w:p>
                        </w:txbxContent>
                      </v:textbox>
                    </v:shape>
                    <v:line id="Straight Connector 82" o:spid="_x0000_s1062" style="position:absolute;visibility:visible;mso-wrap-style:square" from="86,29243" to="51038,2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ncMMAAADbAAAADwAAAGRycy9kb3ducmV2LnhtbESPT2sCMRTE7wW/Q3iCt5rVg9XVKCIK&#10;hULxL14fm+dmcfOybNK4/fZNQfA4zMxvmMWqs7WI1PrKsYLRMANBXDhdcangfNq9T0H4gKyxdkwK&#10;fsnDatl7W2Cu3YMPFI+hFAnCPkcFJoQml9IXhiz6oWuIk3dzrcWQZFtK3eIjwW0tx1k2kRYrTgsG&#10;G9oYKu7HH6tgf71sv2cjt9t/xG05q038OmRRqUG/W89BBOrCK/xsf2oF0zH8f0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2p3DDAAAA2wAAAA8AAAAAAAAAAAAA&#10;AAAAoQIAAGRycy9kb3ducmV2LnhtbFBLBQYAAAAABAAEAPkAAACRAwAAAAA=&#10;" strokecolor="#ffc000" strokeweight="2.25pt">
                      <v:stroke joinstyle="miter"/>
                    </v:line>
                    <v:shape id="Text Box 83" o:spid="_x0000_s1063" type="#_x0000_t202" style="position:absolute;left:345;top:29588;width:3136;height:1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Rz8UA&#10;AADbAAAADwAAAGRycy9kb3ducmV2LnhtbESP3YrCMBSE74V9h3AWvJE19QeR2ijLirA3Kv48wNnm&#10;2JY2J6WJtuvTG0HwcpiZb5hk1ZlK3KhxhWUFo2EEgji1uuBMwfm0+ZqDcB5ZY2WZFPyTg9Xyo5dg&#10;rG3LB7odfSYChF2MCnLv61hKl+Zk0A1tTRy8i20M+iCbTOoG2wA3lRxH0UwaLDgs5FjTT05pebwa&#10;Ba08l9n4Pv1bR+l9MJjp63S/3SnV/+y+FyA8df4dfrV/tYL5B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NHPxQAAANsAAAAPAAAAAAAAAAAAAAAAAJgCAABkcnMv&#10;ZG93bnJldi54bWxQSwUGAAAAAAQABAD1AAAAigMAAAAA&#10;" fillcolor="#bfbfbf [2412]" stroked="f" strokeweight=".5pt">
                      <v:textbox style="layout-flow:vertical;mso-layout-flow-alt:bottom-to-top">
                        <w:txbxContent>
                          <w:p w:rsidR="004A3175" w:rsidRPr="00255F59" w:rsidRDefault="004A3175" w:rsidP="003E1CD8">
                            <w:pPr>
                              <w:jc w:val="center"/>
                              <w:rPr>
                                <w:sz w:val="20"/>
                              </w:rPr>
                            </w:pPr>
                            <w:r>
                              <w:rPr>
                                <w:sz w:val="20"/>
                              </w:rPr>
                              <w:t>Niveau  Périphérique</w:t>
                            </w:r>
                          </w:p>
                          <w:p w:rsidR="004A3175" w:rsidRDefault="004A3175" w:rsidP="003E1CD8">
                            <w:pPr>
                              <w:jc w:val="center"/>
                            </w:pPr>
                          </w:p>
                        </w:txbxContent>
                      </v:textbox>
                    </v:shape>
                    <v:line id="Straight Connector 84" o:spid="_x0000_s1064" style="position:absolute;visibility:visible;mso-wrap-style:square" from="258,41924" to="51211,4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Oan8MAAADbAAAADwAAAGRycy9kb3ducmV2LnhtbESP3WoCMRSE7wu+QziCdzVrkVZXo0hR&#10;EArFX7w9bI6bxc3Jsolx+/ZNoeDlMDPfMPNlZ2sRqfWVYwWjYQaCuHC64lLB6bh5nYDwAVlj7ZgU&#10;/JCH5aL3MsdcuwfvKR5CKRKEfY4KTAhNLqUvDFn0Q9cQJ+/qWoshybaUusVHgttavmXZu7RYcVow&#10;2NCnoeJ2uFsFu8t5/T0duc3uI67LaW3i1z6LSg363WoGIlAXnuH/9lYrmIzh70v6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Tmp/DAAAA2wAAAA8AAAAAAAAAAAAA&#10;AAAAoQIAAGRycy9kb3ducmV2LnhtbFBLBQYAAAAABAAEAPkAAACRAwAAAAA=&#10;" strokecolor="#ffc000" strokeweight="2.25pt">
                      <v:stroke joinstyle="miter"/>
                    </v:line>
                  </v:group>
                </v:group>
              </v:group>
            </w:pict>
          </mc:Fallback>
        </mc:AlternateContent>
      </w:r>
    </w:p>
    <w:p w:rsidR="00431B9D" w:rsidRPr="00621BF1" w:rsidRDefault="00431B9D" w:rsidP="00431B9D">
      <w:pPr>
        <w:jc w:val="both"/>
      </w:pPr>
    </w:p>
    <w:p w:rsidR="00431B9D" w:rsidRPr="00621BF1" w:rsidRDefault="00431B9D" w:rsidP="00431B9D">
      <w:pPr>
        <w:jc w:val="both"/>
      </w:pPr>
    </w:p>
    <w:p w:rsidR="00431B9D" w:rsidRPr="00621BF1" w:rsidRDefault="00431B9D" w:rsidP="00431B9D">
      <w:pPr>
        <w:jc w:val="both"/>
      </w:pPr>
    </w:p>
    <w:p w:rsidR="00431B9D" w:rsidRPr="00621BF1" w:rsidRDefault="00431B9D" w:rsidP="00431B9D">
      <w:pPr>
        <w:jc w:val="both"/>
      </w:pPr>
    </w:p>
    <w:p w:rsidR="00431B9D" w:rsidRPr="00621BF1" w:rsidRDefault="00431B9D" w:rsidP="00431B9D">
      <w:pPr>
        <w:jc w:val="both"/>
      </w:pPr>
    </w:p>
    <w:p w:rsidR="00431B9D" w:rsidRPr="00621BF1" w:rsidRDefault="00431B9D" w:rsidP="00431B9D">
      <w:pPr>
        <w:jc w:val="both"/>
      </w:pPr>
    </w:p>
    <w:p w:rsidR="00431B9D" w:rsidRPr="00621BF1" w:rsidRDefault="00431B9D" w:rsidP="00431B9D">
      <w:pPr>
        <w:jc w:val="both"/>
        <w:rPr>
          <w:rFonts w:eastAsia="Calibri"/>
          <w:bCs/>
        </w:rPr>
      </w:pPr>
    </w:p>
    <w:p w:rsidR="00431B9D" w:rsidRPr="00621BF1" w:rsidRDefault="00431B9D" w:rsidP="00431B9D">
      <w:pPr>
        <w:jc w:val="both"/>
        <w:rPr>
          <w:rFonts w:eastAsia="Calibri"/>
          <w:bCs/>
        </w:rPr>
      </w:pPr>
    </w:p>
    <w:p w:rsidR="00431B9D" w:rsidRPr="00621BF1" w:rsidRDefault="00431B9D" w:rsidP="00431B9D">
      <w:pPr>
        <w:jc w:val="both"/>
        <w:rPr>
          <w:rFonts w:eastAsia="Calibri"/>
          <w:bCs/>
        </w:rPr>
      </w:pPr>
    </w:p>
    <w:p w:rsidR="00431B9D" w:rsidRPr="00621BF1" w:rsidRDefault="00431B9D" w:rsidP="00431B9D">
      <w:pPr>
        <w:jc w:val="both"/>
        <w:rPr>
          <w:rFonts w:eastAsia="Calibri"/>
          <w:bCs/>
        </w:rPr>
      </w:pPr>
    </w:p>
    <w:p w:rsidR="00431B9D" w:rsidRPr="00621BF1" w:rsidRDefault="00431B9D" w:rsidP="00431B9D">
      <w:pPr>
        <w:jc w:val="both"/>
        <w:rPr>
          <w:rFonts w:eastAsia="Calibri"/>
          <w:bCs/>
        </w:rPr>
      </w:pPr>
    </w:p>
    <w:p w:rsidR="008D79A8" w:rsidRPr="00621BF1" w:rsidRDefault="008D79A8" w:rsidP="008D79A8">
      <w:pPr>
        <w:pStyle w:val="Lgende"/>
      </w:pPr>
      <w:r w:rsidRPr="00621BF1">
        <w:t xml:space="preserve">           </w:t>
      </w:r>
      <w:bookmarkStart w:id="20" w:name="_Toc456109499"/>
      <w:r w:rsidRPr="00621BF1">
        <w:t xml:space="preserve">Figure </w:t>
      </w:r>
      <w:r w:rsidR="00B51B2E" w:rsidRPr="00621BF1">
        <w:fldChar w:fldCharType="begin"/>
      </w:r>
      <w:r w:rsidRPr="00621BF1">
        <w:instrText xml:space="preserve"> SEQ Figure \* ARABIC </w:instrText>
      </w:r>
      <w:r w:rsidR="00B51B2E" w:rsidRPr="00621BF1">
        <w:fldChar w:fldCharType="separate"/>
      </w:r>
      <w:r w:rsidR="00DC4EEF">
        <w:rPr>
          <w:noProof/>
        </w:rPr>
        <w:t>2</w:t>
      </w:r>
      <w:r w:rsidR="00B51B2E" w:rsidRPr="00621BF1">
        <w:fldChar w:fldCharType="end"/>
      </w:r>
      <w:r w:rsidRPr="00621BF1">
        <w:t>: Organisation du système de sante Guinéen</w:t>
      </w:r>
      <w:bookmarkEnd w:id="20"/>
    </w:p>
    <w:p w:rsidR="008D79A8" w:rsidRPr="00621BF1" w:rsidRDefault="008D79A8" w:rsidP="008D79A8">
      <w:pPr>
        <w:rPr>
          <w:lang w:val="fr-BE" w:eastAsia="fr-FR"/>
        </w:rPr>
      </w:pPr>
    </w:p>
    <w:p w:rsidR="000675EC" w:rsidRPr="00621BF1" w:rsidRDefault="000675EC" w:rsidP="000675EC">
      <w:pPr>
        <w:pStyle w:val="Lgende"/>
      </w:pPr>
      <w:r w:rsidRPr="00621BF1">
        <w:t xml:space="preserve">            </w:t>
      </w:r>
      <w:bookmarkStart w:id="21" w:name="_Toc456109500"/>
      <w:r w:rsidRPr="00621BF1">
        <w:t xml:space="preserve">Figure </w:t>
      </w:r>
      <w:r w:rsidR="00B51B2E" w:rsidRPr="00621BF1">
        <w:fldChar w:fldCharType="begin"/>
      </w:r>
      <w:r w:rsidRPr="00621BF1">
        <w:instrText xml:space="preserve"> SEQ Figure \* ARABIC </w:instrText>
      </w:r>
      <w:r w:rsidR="00B51B2E" w:rsidRPr="00621BF1">
        <w:fldChar w:fldCharType="separate"/>
      </w:r>
      <w:r w:rsidR="00DC4EEF">
        <w:rPr>
          <w:noProof/>
        </w:rPr>
        <w:t>3</w:t>
      </w:r>
      <w:r w:rsidR="00B51B2E" w:rsidRPr="00621BF1">
        <w:fldChar w:fldCharType="end"/>
      </w:r>
      <w:r w:rsidRPr="00621BF1">
        <w:t>: Pyramide sanitaire de la République de Guinée</w:t>
      </w:r>
      <w:bookmarkEnd w:id="21"/>
    </w:p>
    <w:p w:rsidR="000675EC" w:rsidRPr="00621BF1" w:rsidRDefault="000675EC" w:rsidP="000675EC">
      <w:pPr>
        <w:rPr>
          <w:lang w:val="fr-BE" w:eastAsia="fr-FR"/>
        </w:rPr>
      </w:pPr>
    </w:p>
    <w:p w:rsidR="00431B9D" w:rsidRPr="00621BF1" w:rsidRDefault="004E1721" w:rsidP="00431B9D">
      <w:pPr>
        <w:jc w:val="both"/>
        <w:rPr>
          <w:rFonts w:eastAsia="Calibri"/>
          <w:bCs/>
        </w:rPr>
      </w:pPr>
      <w:r w:rsidRPr="00621BF1">
        <w:rPr>
          <w:lang w:val="fr-BE" w:eastAsia="fr-FR"/>
        </w:rPr>
        <w:t xml:space="preserve">En matière d’offre de soins, </w:t>
      </w:r>
      <w:r w:rsidRPr="00621BF1">
        <w:rPr>
          <w:rFonts w:eastAsia="Calibri"/>
          <w:bCs/>
        </w:rPr>
        <w:t xml:space="preserve"> le paquet de services  des centres de santé est centré essentiellement sur la vaccination, la consultation primaire curative, la consultation prénatale, la planification familiale, l’accouchement assisté. </w:t>
      </w:r>
      <w:r>
        <w:rPr>
          <w:rFonts w:eastAsia="Calibri"/>
          <w:bCs/>
        </w:rPr>
        <w:t xml:space="preserve">D’autres prestations à savoir les </w:t>
      </w:r>
      <w:r w:rsidRPr="00621BF1">
        <w:rPr>
          <w:rFonts w:eastAsia="Calibri"/>
          <w:bCs/>
        </w:rPr>
        <w:t xml:space="preserve">activités liées à la PTME/CDV, à la PCIMNE, à la Nutrition, à la prise en charge du VIH, au développement des SONUB sont </w:t>
      </w:r>
      <w:r>
        <w:rPr>
          <w:rFonts w:eastAsia="Calibri"/>
          <w:bCs/>
        </w:rPr>
        <w:t xml:space="preserve">aussi développé dans </w:t>
      </w:r>
      <w:r w:rsidRPr="00621BF1">
        <w:rPr>
          <w:rFonts w:eastAsia="Calibri"/>
          <w:bCs/>
        </w:rPr>
        <w:t xml:space="preserve">des centres de santé de l’intérieur du pays. Le paquet complémentaire de soins des hôpitaux préfectoraux couvre les spécialités de base notamment: la médecine générale, la chirurgie générale, la pédiatrie, la gynéco-obstétrique et les services </w:t>
      </w:r>
      <w:proofErr w:type="spellStart"/>
      <w:r w:rsidRPr="00621BF1">
        <w:rPr>
          <w:rFonts w:eastAsia="Calibri"/>
          <w:bCs/>
        </w:rPr>
        <w:t>médicotechniques</w:t>
      </w:r>
      <w:proofErr w:type="spellEnd"/>
      <w:r w:rsidRPr="00621BF1">
        <w:rPr>
          <w:rFonts w:eastAsia="Calibri"/>
          <w:bCs/>
        </w:rPr>
        <w:t>. Les hôpitaux régionaux offrent pratiquement le même paquet de prestations de soins que les hôpitaux préfectoraux. Les services spécialisés comme la cardiologie, la diabétologie, la pneumologie, la neurologie et l’urologie qui devraient être développés dans ces structures ne sont pas encore fonctionnels dans tous les hôpitaux régionaux. Les hôpitaux nationaux offrent des prestations tertiaires réparties entre diverses spécialités</w:t>
      </w:r>
      <w:r w:rsidRPr="00621BF1">
        <w:rPr>
          <w:rFonts w:eastAsia="Calibri"/>
          <w:bCs/>
        </w:rPr>
        <w:footnoteReference w:id="3"/>
      </w:r>
      <w:r w:rsidRPr="00621BF1">
        <w:rPr>
          <w:rFonts w:eastAsia="Calibri"/>
          <w:bCs/>
        </w:rPr>
        <w:t>et sont impliqués dans les activités de formation et de recherche</w:t>
      </w:r>
      <w:r>
        <w:rPr>
          <w:rFonts w:eastAsia="Calibri"/>
          <w:bCs/>
        </w:rPr>
        <w:t>.</w:t>
      </w:r>
      <w:r w:rsidR="00431B9D" w:rsidRPr="00621BF1">
        <w:rPr>
          <w:rFonts w:eastAsia="Calibri"/>
          <w:bCs/>
        </w:rPr>
        <w:t xml:space="preserve"> </w:t>
      </w:r>
    </w:p>
    <w:p w:rsidR="004E1721" w:rsidRPr="00621BF1" w:rsidRDefault="004E1721" w:rsidP="004E1721">
      <w:pPr>
        <w:jc w:val="both"/>
        <w:rPr>
          <w:rFonts w:eastAsia="Calibri"/>
          <w:bCs/>
        </w:rPr>
      </w:pPr>
      <w:r w:rsidRPr="00621BF1">
        <w:rPr>
          <w:rFonts w:eastAsia="Calibri"/>
          <w:bCs/>
        </w:rPr>
        <w:t xml:space="preserve">En </w:t>
      </w:r>
      <w:r>
        <w:rPr>
          <w:rFonts w:eastAsia="Calibri"/>
          <w:bCs/>
        </w:rPr>
        <w:t xml:space="preserve">plus </w:t>
      </w:r>
      <w:r w:rsidRPr="00621BF1">
        <w:rPr>
          <w:rFonts w:eastAsia="Calibri"/>
          <w:bCs/>
        </w:rPr>
        <w:t xml:space="preserve">du secteur public, il y a : </w:t>
      </w:r>
    </w:p>
    <w:p w:rsidR="004E1721" w:rsidRPr="00621BF1" w:rsidRDefault="004E1721" w:rsidP="004E1721">
      <w:pPr>
        <w:pStyle w:val="Paragraphedeliste"/>
        <w:numPr>
          <w:ilvl w:val="0"/>
          <w:numId w:val="24"/>
        </w:numPr>
        <w:spacing w:before="0" w:after="0"/>
        <w:jc w:val="both"/>
        <w:rPr>
          <w:rFonts w:eastAsia="Calibri"/>
          <w:bCs/>
        </w:rPr>
      </w:pPr>
      <w:r w:rsidRPr="00621BF1">
        <w:rPr>
          <w:rFonts w:eastAsia="Calibri"/>
          <w:b/>
          <w:bCs/>
          <w:i/>
          <w:u w:val="single"/>
        </w:rPr>
        <w:lastRenderedPageBreak/>
        <w:t>Secteur privé</w:t>
      </w:r>
      <w:r w:rsidRPr="00621BF1">
        <w:rPr>
          <w:rStyle w:val="Titre4Car"/>
          <w:rFonts w:eastAsiaTheme="minorEastAsia"/>
          <w:b w:val="0"/>
          <w:szCs w:val="22"/>
        </w:rPr>
        <w:t xml:space="preserve"> </w:t>
      </w:r>
      <w:r w:rsidRPr="00621BF1">
        <w:rPr>
          <w:rFonts w:eastAsia="Calibri"/>
          <w:bCs/>
        </w:rPr>
        <w:t>à but lucratif et non lucratif (ONG et confessions religieuses). La particularité du privé lucrative est qu’il est fortement dominé par les structures informelles, tenu pour la plupart</w:t>
      </w:r>
      <w:r>
        <w:rPr>
          <w:rFonts w:eastAsia="Calibri"/>
          <w:bCs/>
        </w:rPr>
        <w:t xml:space="preserve"> du temps</w:t>
      </w:r>
      <w:r w:rsidRPr="00621BF1">
        <w:rPr>
          <w:rFonts w:eastAsia="Calibri"/>
          <w:bCs/>
        </w:rPr>
        <w:t xml:space="preserve">, </w:t>
      </w:r>
      <w:r>
        <w:rPr>
          <w:rFonts w:eastAsia="Calibri"/>
          <w:bCs/>
        </w:rPr>
        <w:t xml:space="preserve">par du </w:t>
      </w:r>
      <w:r w:rsidRPr="00621BF1">
        <w:rPr>
          <w:rFonts w:eastAsia="Calibri"/>
          <w:bCs/>
        </w:rPr>
        <w:t>personnel paramédical. L’offre formelle se résume à 41 cliniques, 106 cabinets.</w:t>
      </w:r>
    </w:p>
    <w:p w:rsidR="004E1721" w:rsidRPr="00621BF1" w:rsidRDefault="004E1721" w:rsidP="004E1721">
      <w:pPr>
        <w:pStyle w:val="Paragraphedeliste"/>
        <w:numPr>
          <w:ilvl w:val="0"/>
          <w:numId w:val="24"/>
        </w:numPr>
        <w:spacing w:before="0" w:after="0"/>
        <w:jc w:val="both"/>
        <w:rPr>
          <w:rFonts w:eastAsia="Calibri"/>
          <w:bCs/>
        </w:rPr>
      </w:pPr>
      <w:r w:rsidRPr="00621BF1">
        <w:rPr>
          <w:rFonts w:eastAsia="Calibri"/>
          <w:b/>
          <w:bCs/>
          <w:i/>
          <w:u w:val="single"/>
        </w:rPr>
        <w:t>Secteur communautaire</w:t>
      </w:r>
      <w:r w:rsidRPr="00621BF1">
        <w:rPr>
          <w:rFonts w:eastAsia="Calibri"/>
          <w:bCs/>
        </w:rPr>
        <w:t xml:space="preserve"> qui est constitué de services à base communautaire (SBC) avec des agents de santé communautaires (ASC) et les prestataires de la médecine traditionnelle.</w:t>
      </w:r>
    </w:p>
    <w:p w:rsidR="004E1721" w:rsidRDefault="004E1721" w:rsidP="004E1721">
      <w:pPr>
        <w:pStyle w:val="Paragraphedeliste"/>
        <w:numPr>
          <w:ilvl w:val="0"/>
          <w:numId w:val="24"/>
        </w:numPr>
        <w:spacing w:before="0" w:after="0"/>
        <w:jc w:val="both"/>
        <w:rPr>
          <w:rFonts w:eastAsia="Calibri"/>
          <w:bCs/>
        </w:rPr>
      </w:pPr>
      <w:r w:rsidRPr="00621BF1">
        <w:rPr>
          <w:rFonts w:eastAsia="Calibri"/>
          <w:b/>
          <w:bCs/>
          <w:i/>
          <w:u w:val="single"/>
        </w:rPr>
        <w:t>Secteur informel</w:t>
      </w:r>
      <w:r w:rsidRPr="00621BF1">
        <w:rPr>
          <w:rFonts w:eastAsia="Calibri"/>
          <w:bCs/>
          <w:i/>
        </w:rPr>
        <w:t xml:space="preserve"> qui</w:t>
      </w:r>
      <w:r w:rsidRPr="00621BF1">
        <w:rPr>
          <w:rFonts w:eastAsia="Calibri"/>
          <w:bCs/>
        </w:rPr>
        <w:t xml:space="preserve"> se développe rapidement et de façon peu contrôlée. Bien qu’il contribue à rendre disponibles les services de santé, les tarifs appliqués sont très variables et non contrôlés, et surtout peu d’informations sont disponibles sur le niveau de qualité de ces services.</w:t>
      </w:r>
    </w:p>
    <w:p w:rsidR="004E1721" w:rsidRDefault="004E1721" w:rsidP="004E1721">
      <w:pPr>
        <w:spacing w:after="0"/>
        <w:jc w:val="both"/>
        <w:rPr>
          <w:rFonts w:eastAsia="Calibri"/>
          <w:bCs/>
        </w:rPr>
      </w:pPr>
    </w:p>
    <w:p w:rsidR="004E1721" w:rsidRPr="00621BF1" w:rsidRDefault="004E1721" w:rsidP="004E1721">
      <w:pPr>
        <w:pStyle w:val="Titre2"/>
        <w:rPr>
          <w:rFonts w:eastAsiaTheme="minorEastAsia"/>
        </w:rPr>
      </w:pPr>
      <w:bookmarkStart w:id="22" w:name="_Toc458593630"/>
      <w:r w:rsidRPr="00621BF1">
        <w:rPr>
          <w:rFonts w:eastAsiaTheme="minorEastAsia"/>
        </w:rPr>
        <w:t>P</w:t>
      </w:r>
      <w:r w:rsidR="00595844">
        <w:rPr>
          <w:rFonts w:eastAsiaTheme="minorEastAsia"/>
        </w:rPr>
        <w:t>rofil sanitaire</w:t>
      </w:r>
      <w:bookmarkEnd w:id="22"/>
    </w:p>
    <w:p w:rsidR="005D2ED1" w:rsidRDefault="005D2ED1" w:rsidP="005D2ED1">
      <w:pPr>
        <w:spacing w:before="100" w:after="120"/>
        <w:jc w:val="both"/>
        <w:rPr>
          <w:rFonts w:cs="Arial"/>
        </w:rPr>
      </w:pPr>
      <w:r w:rsidRPr="00621BF1">
        <w:rPr>
          <w:rFonts w:cs="Arial"/>
        </w:rPr>
        <w:t xml:space="preserve">Le niveau de ces indicateurs de mortalité maternelle, infantile et  infanto juvénile reste encore très élevé par rapport aux pays à économie similaire. Ainsi, le ratio de la mortalité maternelle est de 724 pour 100 000 naissances vivantes, le taux de mortalité néonatale de 33‰, le taux de  mortalité infanto juvénile de 123‰ et le taux de mortalité infantile de 67‰ (EDS-MICS 2012). </w:t>
      </w:r>
    </w:p>
    <w:p w:rsidR="005D2ED1" w:rsidRPr="00621BF1" w:rsidRDefault="005D2ED1" w:rsidP="005D2ED1">
      <w:pPr>
        <w:spacing w:before="100" w:after="120"/>
        <w:jc w:val="both"/>
        <w:rPr>
          <w:rFonts w:cs="Arial"/>
          <w:bCs/>
        </w:rPr>
      </w:pPr>
      <w:r w:rsidRPr="00621BF1">
        <w:rPr>
          <w:rFonts w:cs="Arial"/>
        </w:rPr>
        <w:t>Le ratio de la</w:t>
      </w:r>
      <w:r>
        <w:rPr>
          <w:rFonts w:cs="Arial"/>
        </w:rPr>
        <w:t xml:space="preserve"> mortalité maternelle est de 550</w:t>
      </w:r>
      <w:r w:rsidRPr="00621BF1">
        <w:rPr>
          <w:rFonts w:cs="Arial"/>
        </w:rPr>
        <w:t xml:space="preserve"> pour 100 000 naissances vivantes, le taux de mortalité néonatale de </w:t>
      </w:r>
      <w:r>
        <w:rPr>
          <w:rFonts w:cs="Arial"/>
        </w:rPr>
        <w:t>20</w:t>
      </w:r>
      <w:r w:rsidRPr="00621BF1">
        <w:rPr>
          <w:rFonts w:cs="Arial"/>
        </w:rPr>
        <w:t xml:space="preserve">‰, le taux de  mortalité infanto juvénile de </w:t>
      </w:r>
      <w:r>
        <w:rPr>
          <w:rFonts w:cs="Arial"/>
        </w:rPr>
        <w:t>46</w:t>
      </w:r>
      <w:r w:rsidRPr="00621BF1">
        <w:rPr>
          <w:rFonts w:cs="Arial"/>
        </w:rPr>
        <w:t>‰ et le t</w:t>
      </w:r>
      <w:r>
        <w:rPr>
          <w:rFonts w:cs="Arial"/>
        </w:rPr>
        <w:t>aux de mortalité infantile de 44</w:t>
      </w:r>
      <w:r w:rsidRPr="00621BF1">
        <w:rPr>
          <w:rFonts w:cs="Arial"/>
        </w:rPr>
        <w:t>‰,</w:t>
      </w:r>
      <w:r>
        <w:rPr>
          <w:rFonts w:cs="Arial"/>
        </w:rPr>
        <w:t xml:space="preserve">  taux de mortalité des enfants de 5 ans 88 </w:t>
      </w:r>
      <w:r w:rsidRPr="00621BF1">
        <w:rPr>
          <w:rFonts w:cs="Arial"/>
        </w:rPr>
        <w:t>‰</w:t>
      </w:r>
      <w:r>
        <w:rPr>
          <w:rFonts w:cs="Arial"/>
        </w:rPr>
        <w:t xml:space="preserve">, taux de mortalité post néonatale 24 </w:t>
      </w:r>
      <w:r w:rsidRPr="00621BF1">
        <w:rPr>
          <w:rFonts w:cs="Arial"/>
        </w:rPr>
        <w:t>‰ (EDS-MI</w:t>
      </w:r>
      <w:r>
        <w:rPr>
          <w:rFonts w:cs="Arial"/>
        </w:rPr>
        <w:t>CS 2016</w:t>
      </w:r>
      <w:r w:rsidRPr="00621BF1">
        <w:rPr>
          <w:rFonts w:cs="Arial"/>
        </w:rPr>
        <w:t>).</w:t>
      </w:r>
    </w:p>
    <w:p w:rsidR="005D2ED1" w:rsidRPr="00621BF1" w:rsidRDefault="005D2ED1" w:rsidP="005D2ED1">
      <w:pPr>
        <w:spacing w:after="120"/>
        <w:contextualSpacing/>
        <w:jc w:val="both"/>
        <w:rPr>
          <w:rFonts w:cs="Arial"/>
          <w:bCs/>
        </w:rPr>
      </w:pPr>
      <w:r w:rsidRPr="00621BF1">
        <w:rPr>
          <w:rFonts w:cs="Arial"/>
          <w:bCs/>
        </w:rPr>
        <w:t xml:space="preserve">Sur le plan épidémiologique, les principales causes de la </w:t>
      </w:r>
      <w:proofErr w:type="spellStart"/>
      <w:r w:rsidRPr="00621BF1">
        <w:rPr>
          <w:rFonts w:cs="Arial"/>
          <w:bCs/>
        </w:rPr>
        <w:t>morbi</w:t>
      </w:r>
      <w:proofErr w:type="spellEnd"/>
      <w:r w:rsidRPr="00621BF1">
        <w:rPr>
          <w:rFonts w:cs="Arial"/>
          <w:bCs/>
        </w:rPr>
        <w:t xml:space="preserve">-mortalité sont liées aux maladies transmissibles dont les maladies à potentiel épidémique, les maladies évitables par la vaccination. La prévalence du paludisme reste encore élevée avec une prévalence de la </w:t>
      </w:r>
      <w:proofErr w:type="spellStart"/>
      <w:r w:rsidRPr="00621BF1">
        <w:rPr>
          <w:rFonts w:cs="Arial"/>
          <w:bCs/>
        </w:rPr>
        <w:t>parasitémie</w:t>
      </w:r>
      <w:proofErr w:type="spellEnd"/>
      <w:r w:rsidRPr="00621BF1">
        <w:rPr>
          <w:rFonts w:cs="Arial"/>
          <w:bCs/>
        </w:rPr>
        <w:t xml:space="preserve"> à 44% chez les enfants</w:t>
      </w:r>
      <w:r w:rsidRPr="00621BF1">
        <w:rPr>
          <w:rFonts w:cs="Arial"/>
          <w:bCs/>
          <w:vertAlign w:val="superscript"/>
        </w:rPr>
        <w:footnoteReference w:id="4"/>
      </w:r>
      <w:r w:rsidRPr="00621BF1">
        <w:rPr>
          <w:rFonts w:cs="Arial"/>
          <w:bCs/>
        </w:rPr>
        <w:t xml:space="preserve">. </w:t>
      </w:r>
    </w:p>
    <w:p w:rsidR="005D2ED1" w:rsidRPr="00621BF1" w:rsidRDefault="005D2ED1" w:rsidP="005D2ED1">
      <w:pPr>
        <w:widowControl w:val="0"/>
        <w:spacing w:after="120"/>
        <w:contextualSpacing/>
        <w:jc w:val="both"/>
        <w:rPr>
          <w:rFonts w:cs="Arial"/>
        </w:rPr>
      </w:pPr>
      <w:r w:rsidRPr="00621BF1">
        <w:rPr>
          <w:rFonts w:cs="Arial"/>
          <w:bCs/>
        </w:rPr>
        <w:t>Le VIH/SIDA demeure un problème de santé publique avec une prévalence stable de 1,7% en 2012</w:t>
      </w:r>
      <w:r w:rsidRPr="00621BF1">
        <w:rPr>
          <w:rFonts w:cs="Arial"/>
          <w:bCs/>
          <w:vertAlign w:val="superscript"/>
        </w:rPr>
        <w:footnoteReference w:id="5"/>
      </w:r>
      <w:r w:rsidRPr="00621BF1">
        <w:rPr>
          <w:rFonts w:cs="Arial"/>
          <w:bCs/>
        </w:rPr>
        <w:t>. En ce qui concerne les autres maladies transmissibles, il est à noter que 6% des enfants de moins de 5 ans avaient présenté des symptômes d’</w:t>
      </w:r>
      <w:r w:rsidRPr="00621BF1">
        <w:rPr>
          <w:rFonts w:cs="Arial"/>
        </w:rPr>
        <w:t>infection respiratoire aigüe et 16% un épisode diarrhéique en 2012. Ces pathologies représentent respectivement les deuxième et troisième causes de mortalité chez les moins de 5 ans. Les infections néonatales sont aussi des causes importantes de mortalité dans cette tranche d’âge</w:t>
      </w:r>
      <w:r w:rsidRPr="00621BF1">
        <w:rPr>
          <w:rFonts w:cs="Arial"/>
          <w:vertAlign w:val="superscript"/>
        </w:rPr>
        <w:footnoteReference w:id="6"/>
      </w:r>
      <w:r w:rsidRPr="00621BF1">
        <w:rPr>
          <w:rFonts w:cs="Arial"/>
        </w:rPr>
        <w:t xml:space="preserve">. </w:t>
      </w:r>
      <w:r w:rsidRPr="00621BF1">
        <w:rPr>
          <w:rFonts w:cs="Arial"/>
          <w:bCs/>
        </w:rPr>
        <w:t xml:space="preserve">Au cours de ces dernières années, le pays a enregistré la survenue fréquente d’épidémies de choléra, de méningite, de rougeole et de la </w:t>
      </w:r>
      <w:r w:rsidRPr="00621BF1">
        <w:rPr>
          <w:rFonts w:cs="Arial"/>
        </w:rPr>
        <w:t>maladie à virus Ebola</w:t>
      </w:r>
      <w:r w:rsidRPr="00621BF1">
        <w:rPr>
          <w:rFonts w:cs="Arial"/>
          <w:bCs/>
        </w:rPr>
        <w:t xml:space="preserve">. </w:t>
      </w:r>
    </w:p>
    <w:p w:rsidR="005D2ED1" w:rsidRPr="00485B39" w:rsidRDefault="005D2ED1" w:rsidP="005D2ED1">
      <w:pPr>
        <w:pStyle w:val="Titre2"/>
        <w:rPr>
          <w:rFonts w:eastAsiaTheme="minorEastAsia"/>
        </w:rPr>
      </w:pPr>
      <w:r w:rsidRPr="00485B39">
        <w:rPr>
          <w:rFonts w:eastAsiaTheme="minorEastAsia"/>
        </w:rPr>
        <w:t>Financement du secteur de la santé</w:t>
      </w:r>
    </w:p>
    <w:p w:rsidR="005D2ED1" w:rsidRPr="00485B39" w:rsidRDefault="005D2ED1" w:rsidP="005D2ED1">
      <w:pPr>
        <w:widowControl w:val="0"/>
        <w:spacing w:after="120" w:line="240" w:lineRule="auto"/>
        <w:jc w:val="both"/>
        <w:rPr>
          <w:rFonts w:cs="Arial"/>
        </w:rPr>
      </w:pPr>
      <w:r w:rsidRPr="00485B39">
        <w:rPr>
          <w:rFonts w:cs="Arial"/>
        </w:rPr>
        <w:t xml:space="preserve">En Guinée, les Comptes Nationaux de Santé (CNS) 2010 indiquent que les ménages constituent la première source de financement des dépenses de santé par le paiement direct (62,2%). </w:t>
      </w:r>
    </w:p>
    <w:p w:rsidR="005D2ED1" w:rsidRPr="00485B39" w:rsidRDefault="005D2ED1" w:rsidP="005D2ED1">
      <w:pPr>
        <w:spacing w:after="120" w:line="240" w:lineRule="auto"/>
        <w:jc w:val="both"/>
        <w:rPr>
          <w:rFonts w:cs="Arial"/>
        </w:rPr>
      </w:pPr>
      <w:r w:rsidRPr="00485B39">
        <w:rPr>
          <w:rFonts w:cs="Arial"/>
        </w:rPr>
        <w:t>Le budget du Ministère de la santé représente 5.6% du Budget national de développement (BND) en 2017. Il a connu une baisse en 2012(1,98%) , 2013(1,75%) et 2014 (2.16%), suivi d’une hausse entre 2015(3,22%), 2016 (4,9%) et 2017 (5,6%) .  </w:t>
      </w:r>
    </w:p>
    <w:p w:rsidR="005D2ED1" w:rsidRPr="00621BF1" w:rsidRDefault="005D2ED1" w:rsidP="005D2ED1">
      <w:pPr>
        <w:rPr>
          <w:rFonts w:cs="Arial"/>
        </w:rPr>
      </w:pPr>
      <w:r>
        <w:rPr>
          <w:noProof/>
          <w:lang w:eastAsia="fr-FR"/>
        </w:rPr>
        <w:lastRenderedPageBreak/>
        <w:drawing>
          <wp:inline distT="0" distB="0" distL="0" distR="0">
            <wp:extent cx="5486700" cy="2976276"/>
            <wp:effectExtent l="0" t="0" r="0" b="0"/>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3882BC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700" cy="2976276"/>
                    </a:xfrm>
                    <a:prstGeom prst="rect">
                      <a:avLst/>
                    </a:prstGeom>
                  </pic:spPr>
                </pic:pic>
              </a:graphicData>
            </a:graphic>
          </wp:inline>
        </w:drawing>
      </w:r>
    </w:p>
    <w:p w:rsidR="005D2ED1" w:rsidRPr="00621BF1" w:rsidRDefault="005D2ED1" w:rsidP="005D2ED1">
      <w:pPr>
        <w:spacing w:after="120"/>
        <w:jc w:val="both"/>
        <w:rPr>
          <w:rFonts w:cs="Arial"/>
        </w:rPr>
      </w:pPr>
      <w:r>
        <w:rPr>
          <w:rFonts w:cs="Arial"/>
        </w:rPr>
        <w:t>Selon le Ministère de l’E</w:t>
      </w:r>
      <w:r w:rsidRPr="00621BF1">
        <w:rPr>
          <w:rFonts w:cs="Arial"/>
        </w:rPr>
        <w:t xml:space="preserve">conomie et des finances, en 2009, le budget du Ministère de la Santé était de 111,726 milliards de GNF dans la loi de finances (LF), les crédits alloués se chiffraient à 87,593 milliards GNF soit 78% des prévisions et 81,672 milliards GNF d’exécutés soit un taux de 93%. </w:t>
      </w:r>
    </w:p>
    <w:p w:rsidR="005D2ED1" w:rsidRPr="00621BF1" w:rsidRDefault="005D2ED1" w:rsidP="005D2ED1">
      <w:pPr>
        <w:spacing w:after="120"/>
        <w:jc w:val="both"/>
        <w:rPr>
          <w:rFonts w:cs="Arial"/>
        </w:rPr>
      </w:pPr>
      <w:r w:rsidRPr="00621BF1">
        <w:rPr>
          <w:rFonts w:cs="Arial"/>
        </w:rPr>
        <w:t>Les collectivités locales n’ont pas un niveau de participation significatif au financement de la santé. Elles ont une part de financement relativement faible qui généralement se limite à la  prise en charge des salaires d’une partie du personnel contractuel, même si on relève un engagement bénéfique pour le secteur en termes d’investissements (construction de centres de santé, postes de santé et points d’eau)</w:t>
      </w:r>
      <w:r w:rsidRPr="00621BF1">
        <w:rPr>
          <w:rStyle w:val="Appelnotedebasdep"/>
        </w:rPr>
        <w:footnoteReference w:id="7"/>
      </w:r>
      <w:r w:rsidRPr="00621BF1">
        <w:rPr>
          <w:rFonts w:cs="Arial"/>
        </w:rPr>
        <w:t xml:space="preserve">, soit à partir de leurs ressources propres soit en exploitant la filière de la coopération décentralisée et les associations des ressortissants. </w:t>
      </w:r>
    </w:p>
    <w:p w:rsidR="005D2ED1" w:rsidRPr="00621BF1" w:rsidRDefault="005D2ED1" w:rsidP="005D2ED1">
      <w:pPr>
        <w:spacing w:after="120"/>
        <w:jc w:val="both"/>
        <w:rPr>
          <w:rFonts w:cs="Arial"/>
        </w:rPr>
      </w:pPr>
      <w:r w:rsidRPr="00621BF1">
        <w:rPr>
          <w:rFonts w:cs="Arial"/>
        </w:rPr>
        <w:t>Le privé, au titre du mécénat, mène des actions de santé timides. Dans ce domaine, le MS et ses partenaires sectoriels ne profitent pas assez des opportunités de plus en plus disponibles avec le développement des investissements privés comme les secteurs minier, de la téléphonie. Le financement extérieur, avec 26,90% de contribution dans les dépenses de santé, constitue une source relativement importante du financement de la santé.</w:t>
      </w:r>
    </w:p>
    <w:bookmarkEnd w:id="2"/>
    <w:bookmarkEnd w:id="3"/>
    <w:bookmarkEnd w:id="4"/>
    <w:bookmarkEnd w:id="10"/>
    <w:p w:rsidR="00431B9D" w:rsidRPr="00621BF1" w:rsidRDefault="00431B9D" w:rsidP="00431B9D">
      <w:pPr>
        <w:spacing w:after="120"/>
        <w:jc w:val="both"/>
        <w:rPr>
          <w:rFonts w:cs="Arial"/>
        </w:rPr>
      </w:pPr>
    </w:p>
    <w:p w:rsidR="005D2ED1" w:rsidRPr="003C3184" w:rsidRDefault="005D2ED1" w:rsidP="005D2ED1">
      <w:pPr>
        <w:pStyle w:val="Titre1"/>
        <w:rPr>
          <w:rFonts w:eastAsiaTheme="minorEastAsia"/>
        </w:rPr>
      </w:pPr>
      <w:bookmarkStart w:id="23" w:name="_Toc452745760"/>
      <w:bookmarkStart w:id="24" w:name="_Toc452746492"/>
      <w:bookmarkStart w:id="25" w:name="_Toc452747511"/>
      <w:bookmarkStart w:id="26" w:name="_Toc458593632"/>
      <w:r w:rsidRPr="003C3184">
        <w:rPr>
          <w:rFonts w:eastAsiaTheme="minorEastAsia"/>
        </w:rPr>
        <w:t>ANALYSE DE LA SITUATION DU PROGRAMME ELARGI DE VACCINATION</w:t>
      </w:r>
    </w:p>
    <w:p w:rsidR="005D2ED1" w:rsidRPr="00621BF1" w:rsidRDefault="005D2ED1" w:rsidP="005D2ED1">
      <w:pPr>
        <w:pStyle w:val="Titre2"/>
      </w:pPr>
      <w:r w:rsidRPr="00621BF1">
        <w:t>PRESTATION DES SERVICES</w:t>
      </w:r>
    </w:p>
    <w:p w:rsidR="005D2ED1" w:rsidRPr="00621BF1" w:rsidRDefault="005D2ED1" w:rsidP="005D2ED1">
      <w:pPr>
        <w:tabs>
          <w:tab w:val="left" w:pos="540"/>
          <w:tab w:val="left" w:pos="720"/>
        </w:tabs>
        <w:spacing w:after="120"/>
        <w:jc w:val="both"/>
        <w:rPr>
          <w:rFonts w:cs="Arial"/>
          <w:bCs/>
        </w:rPr>
      </w:pPr>
      <w:r w:rsidRPr="00621BF1">
        <w:rPr>
          <w:rFonts w:cs="Arial"/>
          <w:bCs/>
        </w:rPr>
        <w:t>Les prestations de services de vaccination ont été analysées pour le PEV de routine, les activités de vaccination supplémentaires (AVS) et l’intégration des interventions en faveur de la survie de l’enfant.</w:t>
      </w:r>
    </w:p>
    <w:p w:rsidR="005D2ED1" w:rsidRPr="002C554B" w:rsidRDefault="005D2ED1" w:rsidP="005D2ED1">
      <w:pPr>
        <w:pStyle w:val="Titre3"/>
        <w:rPr>
          <w:highlight w:val="yellow"/>
        </w:rPr>
      </w:pPr>
      <w:r w:rsidRPr="002C554B">
        <w:rPr>
          <w:highlight w:val="yellow"/>
        </w:rPr>
        <w:t>PEV de routine</w:t>
      </w:r>
    </w:p>
    <w:p w:rsidR="005D2ED1" w:rsidRPr="00536D43" w:rsidRDefault="005D2ED1" w:rsidP="005D2ED1">
      <w:pPr>
        <w:widowControl w:val="0"/>
        <w:autoSpaceDE w:val="0"/>
        <w:autoSpaceDN w:val="0"/>
        <w:adjustRightInd w:val="0"/>
        <w:spacing w:after="120"/>
        <w:jc w:val="both"/>
        <w:rPr>
          <w:rFonts w:cs="Arial"/>
          <w:bCs/>
          <w:color w:val="00B050"/>
        </w:rPr>
      </w:pPr>
      <w:r w:rsidRPr="00536D43">
        <w:rPr>
          <w:rFonts w:cs="Arial"/>
          <w:bCs/>
          <w:color w:val="00B050"/>
        </w:rPr>
        <w:t>La politique nationale de vaccination préconise la vaccination des enfants de 0-11 mois, de 15-18 mois, les filles de 9-13ans et des femmes enceintes qui constitue une porte d’entrée pour les femmes en âge de procréer (15-</w:t>
      </w:r>
      <w:r w:rsidRPr="00536D43">
        <w:rPr>
          <w:rFonts w:cs="Arial"/>
          <w:bCs/>
          <w:color w:val="00B050"/>
        </w:rPr>
        <w:lastRenderedPageBreak/>
        <w:t>49 ans).</w:t>
      </w:r>
    </w:p>
    <w:p w:rsidR="005D2ED1" w:rsidRPr="00621BF1" w:rsidRDefault="005D2ED1" w:rsidP="005D2ED1">
      <w:pPr>
        <w:widowControl w:val="0"/>
        <w:tabs>
          <w:tab w:val="left" w:pos="780"/>
          <w:tab w:val="left" w:pos="2140"/>
          <w:tab w:val="left" w:pos="3100"/>
          <w:tab w:val="left" w:pos="3620"/>
          <w:tab w:val="left" w:pos="4340"/>
          <w:tab w:val="left" w:pos="5320"/>
          <w:tab w:val="left" w:pos="7040"/>
          <w:tab w:val="left" w:pos="7740"/>
          <w:tab w:val="left" w:pos="8840"/>
        </w:tabs>
        <w:autoSpaceDE w:val="0"/>
        <w:autoSpaceDN w:val="0"/>
        <w:adjustRightInd w:val="0"/>
        <w:spacing w:after="120"/>
        <w:jc w:val="both"/>
        <w:rPr>
          <w:rFonts w:cs="Arial"/>
          <w:bCs/>
        </w:rPr>
      </w:pPr>
      <w:r w:rsidRPr="00621BF1">
        <w:rPr>
          <w:rFonts w:cs="Arial"/>
          <w:bCs/>
        </w:rPr>
        <w:t xml:space="preserve">Pour les enfants, tous les vaccins du programme devraient être administrés avant l’âge de 12 mois, en 5 contacts. Il s’agit des vaccins    contre la tuberculose, la poliomyélite, la diphtérie, le tétanos, la coqueluche, l’hépatite B, les infections à </w:t>
      </w:r>
      <w:proofErr w:type="spellStart"/>
      <w:r w:rsidRPr="00621BF1">
        <w:rPr>
          <w:rFonts w:cs="Arial"/>
          <w:bCs/>
        </w:rPr>
        <w:t>Haemophilus</w:t>
      </w:r>
      <w:proofErr w:type="spellEnd"/>
      <w:r w:rsidRPr="00621BF1">
        <w:rPr>
          <w:rFonts w:cs="Arial"/>
          <w:bCs/>
        </w:rPr>
        <w:t xml:space="preserve"> </w:t>
      </w:r>
      <w:proofErr w:type="spellStart"/>
      <w:r w:rsidRPr="00621BF1">
        <w:rPr>
          <w:rFonts w:cs="Arial"/>
          <w:bCs/>
        </w:rPr>
        <w:t>Influenzae</w:t>
      </w:r>
      <w:proofErr w:type="spellEnd"/>
      <w:r w:rsidRPr="00621BF1">
        <w:rPr>
          <w:rFonts w:cs="Arial"/>
          <w:bCs/>
        </w:rPr>
        <w:t xml:space="preserve"> de type b et la rougeole, la fièvre jaune, Il est prévu</w:t>
      </w:r>
      <w:r>
        <w:rPr>
          <w:rFonts w:cs="Arial"/>
          <w:bCs/>
        </w:rPr>
        <w:t xml:space="preserve"> de 2016 à 2020</w:t>
      </w:r>
      <w:r w:rsidRPr="00621BF1">
        <w:rPr>
          <w:rFonts w:cs="Arial"/>
          <w:bCs/>
        </w:rPr>
        <w:t xml:space="preserve"> l’introduction d’autres nouveaux vaccins contre les infections a pneumocoque, les diarrhées à rota virus,  le HPV en démonstration et le vaccin </w:t>
      </w:r>
      <w:proofErr w:type="spellStart"/>
      <w:r w:rsidRPr="00621BF1">
        <w:rPr>
          <w:rFonts w:cs="Arial"/>
          <w:bCs/>
        </w:rPr>
        <w:t>MenAfrivac</w:t>
      </w:r>
      <w:proofErr w:type="spellEnd"/>
      <w:r>
        <w:rPr>
          <w:rFonts w:cs="Arial"/>
          <w:bCs/>
        </w:rPr>
        <w:t xml:space="preserve"> </w:t>
      </w:r>
      <w:r w:rsidRPr="00621BF1">
        <w:rPr>
          <w:rFonts w:cs="Arial"/>
          <w:bCs/>
        </w:rPr>
        <w:t>.</w:t>
      </w:r>
      <w:r>
        <w:rPr>
          <w:rFonts w:cs="Arial"/>
          <w:bCs/>
        </w:rPr>
        <w:t xml:space="preserve"> Un sixième (6) contact est prévu pour la deuxième dose de la vaccination contre la rougeole  pour les enfants de 15 à 18 mois  </w:t>
      </w:r>
    </w:p>
    <w:p w:rsidR="005D2ED1" w:rsidRPr="00621BF1" w:rsidRDefault="005D2ED1" w:rsidP="005D2ED1">
      <w:pPr>
        <w:pStyle w:val="Titre4"/>
      </w:pPr>
      <w:r w:rsidRPr="00621BF1">
        <w:t>Organisation des services de vaccination</w:t>
      </w:r>
    </w:p>
    <w:p w:rsidR="005D2ED1" w:rsidRPr="00621BF1" w:rsidRDefault="005D2ED1" w:rsidP="005D2ED1">
      <w:pPr>
        <w:pStyle w:val="Corpsdetexte22"/>
        <w:widowControl/>
        <w:spacing w:after="120"/>
        <w:rPr>
          <w:rFonts w:ascii="Gill Sans MT" w:hAnsi="Gill Sans MT"/>
          <w:bCs/>
          <w:sz w:val="22"/>
          <w:szCs w:val="22"/>
          <w:lang w:val="fr-BE"/>
        </w:rPr>
      </w:pPr>
      <w:r w:rsidRPr="00621BF1">
        <w:rPr>
          <w:rFonts w:ascii="Gill Sans MT" w:hAnsi="Gill Sans MT"/>
          <w:bCs/>
          <w:sz w:val="22"/>
          <w:szCs w:val="22"/>
          <w:lang w:val="fr-BE"/>
        </w:rPr>
        <w:t>La vaccination est gratuite sur toute l’étendue du territoire et constitue l’une des composantes du paquet minimum d’activités (PMA) d’une formation sanitaire défini par le ministère de la santé. Les structures sanitaires privées qui mènent les activités de vaccination sont approvisionnées gratuitement par leur district siège.</w:t>
      </w:r>
    </w:p>
    <w:p w:rsidR="005D2ED1" w:rsidRPr="00621BF1" w:rsidRDefault="005D2ED1" w:rsidP="005D2ED1">
      <w:pPr>
        <w:pStyle w:val="Corpsdetexte22"/>
        <w:widowControl/>
        <w:spacing w:after="120"/>
        <w:rPr>
          <w:rFonts w:ascii="Gill Sans MT" w:hAnsi="Gill Sans MT"/>
          <w:bCs/>
          <w:sz w:val="22"/>
          <w:szCs w:val="22"/>
          <w:lang w:val="fr-BE"/>
        </w:rPr>
      </w:pPr>
      <w:r w:rsidRPr="00621BF1">
        <w:rPr>
          <w:rFonts w:ascii="Gill Sans MT" w:hAnsi="Gill Sans MT"/>
          <w:bCs/>
          <w:sz w:val="22"/>
          <w:szCs w:val="22"/>
          <w:lang w:val="fr-BE"/>
        </w:rPr>
        <w:t>L’offre des services de vaccination se fait  essentiellement en vaccination de routine soutenue par des activités de vaccination supplémentaires (AVS).</w:t>
      </w:r>
    </w:p>
    <w:p w:rsidR="005D2ED1" w:rsidRPr="00621BF1" w:rsidRDefault="005D2ED1" w:rsidP="005D2ED1">
      <w:pPr>
        <w:spacing w:after="120"/>
        <w:jc w:val="both"/>
        <w:rPr>
          <w:rFonts w:cs="Arial"/>
          <w:bCs/>
        </w:rPr>
      </w:pPr>
      <w:r w:rsidRPr="00621BF1">
        <w:rPr>
          <w:rFonts w:cs="Arial"/>
          <w:bCs/>
        </w:rPr>
        <w:t>Les stratégies de vaccination :</w:t>
      </w:r>
    </w:p>
    <w:p w:rsidR="005D2ED1" w:rsidRPr="00621BF1" w:rsidRDefault="005D2ED1" w:rsidP="005D2ED1">
      <w:pPr>
        <w:spacing w:after="120"/>
        <w:jc w:val="both"/>
        <w:rPr>
          <w:rFonts w:cs="Arial"/>
          <w:bCs/>
        </w:rPr>
      </w:pPr>
      <w:r w:rsidRPr="00621BF1">
        <w:rPr>
          <w:rFonts w:cs="Arial"/>
          <w:bCs/>
        </w:rPr>
        <w:t>En vue d’améliorer les performances du programme, le pays a adopté l’approche ACD à partir de 2004 et s’en est approprié comme stratégie de base  de mise en œuvre du PEV systématique. Trois stratégies essentielles de vaccination sont appliquées pour atteindre les populations cibles du programme à savoir :</w:t>
      </w:r>
    </w:p>
    <w:p w:rsidR="005D2ED1" w:rsidRPr="00621BF1" w:rsidRDefault="005D2ED1" w:rsidP="005D2ED1">
      <w:pPr>
        <w:numPr>
          <w:ilvl w:val="0"/>
          <w:numId w:val="6"/>
        </w:numPr>
        <w:spacing w:after="120" w:line="240" w:lineRule="auto"/>
        <w:jc w:val="both"/>
        <w:rPr>
          <w:rFonts w:cs="Arial"/>
          <w:bCs/>
        </w:rPr>
      </w:pPr>
      <w:r w:rsidRPr="00621BF1">
        <w:rPr>
          <w:rFonts w:cs="Arial"/>
          <w:bCs/>
        </w:rPr>
        <w:t xml:space="preserve">La stratégie fixe : il s’agit des vaccinations effectuées dans les centres fixes pour atteindre la population cible se trouvant dans un rayon de moins de 5 Km autour du centre de santé. Cette stratégie couvre près de 72% de la population cible, essentiellement dans les zones urbaines. </w:t>
      </w:r>
    </w:p>
    <w:p w:rsidR="005D2ED1" w:rsidRPr="00621BF1" w:rsidRDefault="005D2ED1" w:rsidP="005D2ED1">
      <w:pPr>
        <w:numPr>
          <w:ilvl w:val="0"/>
          <w:numId w:val="6"/>
        </w:numPr>
        <w:spacing w:after="120" w:line="240" w:lineRule="auto"/>
        <w:jc w:val="both"/>
        <w:rPr>
          <w:rFonts w:cs="Arial"/>
          <w:bCs/>
        </w:rPr>
      </w:pPr>
      <w:r w:rsidRPr="00621BF1">
        <w:rPr>
          <w:rFonts w:cs="Arial"/>
          <w:bCs/>
        </w:rPr>
        <w:t xml:space="preserve">La stratégie avancée : il s’agit des sorties effectuées à partir du centre fixe pour couvrir la population cible et pour rapprocher les services de vaccination des populations ayant des problèmes d’accès géographique (5 à 15 Km ou obstacles naturels) ou socio-culturels. Elle couvre près de 27% de la cible et s’applique dans tous les districts sanitaires selon les réalités du terrain. </w:t>
      </w:r>
    </w:p>
    <w:p w:rsidR="005D2ED1" w:rsidRPr="00621BF1" w:rsidRDefault="005D2ED1" w:rsidP="005D2ED1">
      <w:pPr>
        <w:numPr>
          <w:ilvl w:val="0"/>
          <w:numId w:val="6"/>
        </w:numPr>
        <w:spacing w:after="120" w:line="240" w:lineRule="auto"/>
        <w:jc w:val="both"/>
        <w:rPr>
          <w:rFonts w:cs="Arial"/>
          <w:bCs/>
        </w:rPr>
      </w:pPr>
      <w:r w:rsidRPr="00621BF1">
        <w:rPr>
          <w:rFonts w:cs="Arial"/>
          <w:bCs/>
        </w:rPr>
        <w:t>La stratégie mobile: elle est utilisée pour desservir la population cible se trouvant dans les zones d’accès difficile et qui n’ont pas de service de vaccination fonctionnel. Elle couvre près de 1% de la cible globale. Les districts sanitaires y recourent rarement par manque des moyens de transport appropriés.</w:t>
      </w:r>
    </w:p>
    <w:p w:rsidR="005D2ED1" w:rsidRPr="00621BF1" w:rsidRDefault="005D2ED1" w:rsidP="005D2ED1">
      <w:pPr>
        <w:spacing w:after="120"/>
        <w:jc w:val="both"/>
        <w:rPr>
          <w:rFonts w:cs="Arial"/>
          <w:bCs/>
        </w:rPr>
      </w:pPr>
      <w:r w:rsidRPr="00621BF1">
        <w:rPr>
          <w:rFonts w:cs="Arial"/>
          <w:bCs/>
        </w:rPr>
        <w:t xml:space="preserve">La mise en œuvre de l’ACD est réalisée dans tous les districts mais avec des difficultés qui sont : </w:t>
      </w:r>
    </w:p>
    <w:p w:rsidR="005D2ED1" w:rsidRPr="00621BF1" w:rsidRDefault="005D2ED1" w:rsidP="005D2ED1">
      <w:pPr>
        <w:pStyle w:val="Paragraphedeliste"/>
        <w:numPr>
          <w:ilvl w:val="0"/>
          <w:numId w:val="28"/>
        </w:numPr>
        <w:jc w:val="both"/>
        <w:rPr>
          <w:rFonts w:cs="Arial"/>
          <w:bCs/>
        </w:rPr>
      </w:pPr>
      <w:r w:rsidRPr="00621BF1">
        <w:rPr>
          <w:rFonts w:cs="Arial"/>
          <w:bCs/>
        </w:rPr>
        <w:t>L’insuffisance de personnel de santé en nombre et en qualité dans les CS ruraux,</w:t>
      </w:r>
      <w:r>
        <w:rPr>
          <w:rFonts w:cs="Arial"/>
          <w:bCs/>
        </w:rPr>
        <w:t xml:space="preserve"> notamment ;  </w:t>
      </w:r>
      <w:r w:rsidRPr="00621BF1">
        <w:rPr>
          <w:rFonts w:cs="Arial"/>
          <w:bCs/>
        </w:rPr>
        <w:t xml:space="preserve"> </w:t>
      </w:r>
    </w:p>
    <w:p w:rsidR="005D2ED1" w:rsidRDefault="005D2ED1" w:rsidP="005D2ED1">
      <w:pPr>
        <w:pStyle w:val="Paragraphedeliste"/>
        <w:numPr>
          <w:ilvl w:val="0"/>
          <w:numId w:val="28"/>
        </w:numPr>
        <w:jc w:val="both"/>
        <w:rPr>
          <w:rFonts w:cs="Arial"/>
          <w:bCs/>
        </w:rPr>
      </w:pPr>
      <w:r>
        <w:rPr>
          <w:rFonts w:cs="Arial"/>
          <w:bCs/>
        </w:rPr>
        <w:t xml:space="preserve">Insuffisance de micro planification ; </w:t>
      </w:r>
    </w:p>
    <w:p w:rsidR="005D2ED1" w:rsidRPr="00B1567B" w:rsidRDefault="005D2ED1" w:rsidP="005D2ED1">
      <w:pPr>
        <w:pStyle w:val="Paragraphedeliste"/>
        <w:numPr>
          <w:ilvl w:val="0"/>
          <w:numId w:val="28"/>
        </w:numPr>
        <w:jc w:val="both"/>
        <w:rPr>
          <w:rFonts w:cs="Arial"/>
          <w:bCs/>
          <w:highlight w:val="yellow"/>
        </w:rPr>
      </w:pPr>
      <w:r w:rsidRPr="00B1567B">
        <w:rPr>
          <w:rFonts w:cs="Arial"/>
          <w:bCs/>
          <w:highlight w:val="yellow"/>
        </w:rPr>
        <w:t xml:space="preserve">Faible capacité de stockage des districts et centres de santé 53% contre 80% requis, </w:t>
      </w:r>
    </w:p>
    <w:p w:rsidR="005D2ED1" w:rsidRDefault="005D2ED1" w:rsidP="005D2ED1">
      <w:pPr>
        <w:pStyle w:val="Paragraphedeliste"/>
        <w:numPr>
          <w:ilvl w:val="0"/>
          <w:numId w:val="28"/>
        </w:numPr>
        <w:jc w:val="both"/>
        <w:rPr>
          <w:bCs/>
        </w:rPr>
      </w:pPr>
      <w:r w:rsidRPr="00621BF1">
        <w:rPr>
          <w:bCs/>
        </w:rPr>
        <w:t xml:space="preserve">L’accessibilité géographique difficile de certains centres de santé en zone rurale (plus de 50km des communautés, mauvais état des routes, obstacles géographiques). </w:t>
      </w:r>
    </w:p>
    <w:p w:rsidR="005D2ED1" w:rsidRDefault="005D2ED1" w:rsidP="005D2ED1">
      <w:pPr>
        <w:pStyle w:val="Paragraphedeliste"/>
        <w:numPr>
          <w:ilvl w:val="0"/>
          <w:numId w:val="28"/>
        </w:numPr>
        <w:jc w:val="both"/>
        <w:rPr>
          <w:bCs/>
        </w:rPr>
      </w:pPr>
      <w:r>
        <w:rPr>
          <w:bCs/>
        </w:rPr>
        <w:t>Insuffisance de ressources financières pour soutenir les activités de stratégies avancées ;</w:t>
      </w:r>
    </w:p>
    <w:p w:rsidR="005D2ED1" w:rsidRPr="00621BF1" w:rsidRDefault="005D2ED1" w:rsidP="005D2ED1">
      <w:pPr>
        <w:pStyle w:val="Paragraphedeliste"/>
        <w:numPr>
          <w:ilvl w:val="0"/>
          <w:numId w:val="28"/>
        </w:numPr>
        <w:jc w:val="both"/>
        <w:rPr>
          <w:bCs/>
        </w:rPr>
      </w:pPr>
      <w:r w:rsidRPr="00B1567B">
        <w:rPr>
          <w:bCs/>
          <w:highlight w:val="yellow"/>
        </w:rPr>
        <w:t>Insuffisance de supervision à tous les niveaux et faiblesse de la qualité des données</w:t>
      </w:r>
      <w:r>
        <w:rPr>
          <w:bCs/>
        </w:rPr>
        <w:t xml:space="preserve">.   </w:t>
      </w:r>
    </w:p>
    <w:p w:rsidR="005D2ED1" w:rsidRDefault="005D2ED1" w:rsidP="005D2ED1">
      <w:pPr>
        <w:spacing w:after="120"/>
        <w:jc w:val="both"/>
        <w:rPr>
          <w:b/>
          <w:bCs/>
          <w:i/>
        </w:rPr>
      </w:pPr>
      <w:r w:rsidRPr="00B1567B">
        <w:rPr>
          <w:rFonts w:cs="Arial"/>
          <w:bCs/>
          <w:highlight w:val="yellow"/>
        </w:rPr>
        <w:t>Ces insuffisances ressortent dans les résultats de la GEV 2016 en Guinée.</w:t>
      </w:r>
      <w:r w:rsidRPr="00621BF1">
        <w:rPr>
          <w:rFonts w:cs="Arial"/>
          <w:bCs/>
        </w:rPr>
        <w:t xml:space="preserve"> </w:t>
      </w:r>
    </w:p>
    <w:p w:rsidR="005D2ED1" w:rsidRDefault="005D2ED1" w:rsidP="005D2ED1">
      <w:pPr>
        <w:pStyle w:val="Titre4"/>
      </w:pPr>
      <w:r w:rsidRPr="00621BF1">
        <w:t xml:space="preserve">Calendrier vaccinal </w:t>
      </w:r>
    </w:p>
    <w:p w:rsidR="005D2ED1" w:rsidRDefault="005D2ED1" w:rsidP="005D2ED1">
      <w:pPr>
        <w:rPr>
          <w:rFonts w:ascii="Calibri" w:hAnsi="Calibri"/>
        </w:rPr>
      </w:pPr>
      <w:bookmarkStart w:id="27" w:name="_Toc497771209"/>
    </w:p>
    <w:p w:rsidR="005D2ED1" w:rsidRDefault="005D2ED1" w:rsidP="005D2ED1">
      <w:pPr>
        <w:rPr>
          <w:rFonts w:ascii="Calibri" w:hAnsi="Calibri"/>
        </w:rPr>
      </w:pPr>
    </w:p>
    <w:p w:rsidR="005D2ED1" w:rsidRDefault="005D2ED1" w:rsidP="005D2ED1">
      <w:pPr>
        <w:rPr>
          <w:rFonts w:ascii="Calibri" w:hAnsi="Calibri"/>
        </w:rPr>
      </w:pPr>
    </w:p>
    <w:p w:rsidR="005D2ED1" w:rsidRDefault="005D2ED1" w:rsidP="005D2ED1">
      <w:pPr>
        <w:rPr>
          <w:rFonts w:ascii="Calibri" w:hAnsi="Calibri"/>
        </w:rPr>
      </w:pPr>
    </w:p>
    <w:p w:rsidR="005D2ED1" w:rsidRDefault="005D2ED1" w:rsidP="005D2ED1">
      <w:pPr>
        <w:rPr>
          <w:rFonts w:ascii="Calibri" w:hAnsi="Calibri"/>
        </w:rPr>
      </w:pPr>
      <w:r w:rsidRPr="00D278AC">
        <w:rPr>
          <w:rFonts w:ascii="Calibri" w:hAnsi="Calibri"/>
        </w:rPr>
        <w:t xml:space="preserve">Tableau </w:t>
      </w:r>
      <w:r>
        <w:rPr>
          <w:rFonts w:ascii="Calibri" w:hAnsi="Calibri"/>
        </w:rPr>
        <w:t>1</w:t>
      </w:r>
      <w:r w:rsidRPr="00D278AC">
        <w:rPr>
          <w:rFonts w:ascii="Calibri" w:hAnsi="Calibri"/>
        </w:rPr>
        <w:t xml:space="preserve"> : Calendrier vaccinal de routine des enfants de 0 à 15 mois, en Guinée, après l’introduction de la deuxième dose du VAR</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9"/>
        <w:gridCol w:w="1327"/>
        <w:gridCol w:w="2264"/>
        <w:gridCol w:w="2213"/>
        <w:gridCol w:w="3594"/>
      </w:tblGrid>
      <w:tr w:rsidR="005D2ED1" w:rsidRPr="00D278AC" w:rsidTr="007F18CB">
        <w:trPr>
          <w:trHeight w:val="207"/>
          <w:tblHeader/>
        </w:trPr>
        <w:tc>
          <w:tcPr>
            <w:tcW w:w="405" w:type="pct"/>
            <w:shd w:val="clear" w:color="auto" w:fill="DEEAF6"/>
          </w:tcPr>
          <w:p w:rsidR="005D2ED1" w:rsidRPr="00D278AC" w:rsidRDefault="005D2ED1" w:rsidP="00A718E5">
            <w:pPr>
              <w:rPr>
                <w:rFonts w:ascii="Calibri" w:hAnsi="Calibri"/>
              </w:rPr>
            </w:pPr>
            <w:r w:rsidRPr="00042EA6">
              <w:rPr>
                <w:rFonts w:ascii="Calibri" w:hAnsi="Calibri"/>
              </w:rPr>
              <w:t>Contact</w:t>
            </w:r>
          </w:p>
        </w:tc>
        <w:tc>
          <w:tcPr>
            <w:tcW w:w="649"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Age</w:t>
            </w:r>
          </w:p>
        </w:tc>
        <w:tc>
          <w:tcPr>
            <w:tcW w:w="1107"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Antigènes</w:t>
            </w:r>
          </w:p>
        </w:tc>
        <w:tc>
          <w:tcPr>
            <w:tcW w:w="1082"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Voie d’administration</w:t>
            </w:r>
          </w:p>
        </w:tc>
        <w:tc>
          <w:tcPr>
            <w:tcW w:w="1757"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Site d’injection</w:t>
            </w:r>
          </w:p>
        </w:tc>
      </w:tr>
      <w:tr w:rsidR="005D2ED1" w:rsidRPr="00D278AC" w:rsidTr="007F18CB">
        <w:trPr>
          <w:trHeight w:val="1185"/>
        </w:trPr>
        <w:tc>
          <w:tcPr>
            <w:tcW w:w="405" w:type="pct"/>
            <w:shd w:val="clear" w:color="auto" w:fill="FFFFFF"/>
          </w:tcPr>
          <w:p w:rsidR="005D2ED1" w:rsidRPr="00D278AC" w:rsidRDefault="005D2ED1" w:rsidP="00A718E5">
            <w:pPr>
              <w:spacing w:line="240" w:lineRule="auto"/>
              <w:rPr>
                <w:rFonts w:ascii="Calibri" w:hAnsi="Calibri"/>
              </w:rPr>
            </w:pPr>
            <w:r>
              <w:rPr>
                <w:rFonts w:ascii="Calibri" w:hAnsi="Calibri"/>
              </w:rPr>
              <w:t>1</w:t>
            </w:r>
          </w:p>
        </w:tc>
        <w:tc>
          <w:tcPr>
            <w:tcW w:w="649" w:type="pct"/>
            <w:shd w:val="clear" w:color="auto" w:fill="FFFFFF"/>
            <w:tcMar>
              <w:top w:w="92" w:type="dxa"/>
              <w:left w:w="142" w:type="dxa"/>
              <w:bottom w:w="74" w:type="dxa"/>
              <w:right w:w="142" w:type="dxa"/>
            </w:tcMar>
            <w:hideMark/>
          </w:tcPr>
          <w:p w:rsidR="005D2ED1" w:rsidRPr="00D278AC" w:rsidRDefault="005D2ED1" w:rsidP="00A718E5">
            <w:pPr>
              <w:spacing w:line="240" w:lineRule="auto"/>
              <w:rPr>
                <w:rFonts w:ascii="Calibri" w:hAnsi="Calibri"/>
              </w:rPr>
            </w:pPr>
            <w:r w:rsidRPr="00D278AC">
              <w:rPr>
                <w:rFonts w:ascii="Calibri" w:hAnsi="Calibri"/>
              </w:rPr>
              <w:t>Naissance</w:t>
            </w:r>
          </w:p>
        </w:tc>
        <w:tc>
          <w:tcPr>
            <w:tcW w:w="1107" w:type="pct"/>
            <w:shd w:val="clear" w:color="auto" w:fill="FFFFFF"/>
            <w:tcMar>
              <w:top w:w="92" w:type="dxa"/>
              <w:left w:w="142" w:type="dxa"/>
              <w:bottom w:w="74" w:type="dxa"/>
              <w:right w:w="142" w:type="dxa"/>
            </w:tcMar>
            <w:hideMark/>
          </w:tcPr>
          <w:p w:rsidR="005D2ED1" w:rsidRDefault="005D2ED1" w:rsidP="00A718E5">
            <w:pPr>
              <w:spacing w:line="240" w:lineRule="auto"/>
              <w:rPr>
                <w:rFonts w:ascii="Calibri" w:hAnsi="Calibri"/>
              </w:rPr>
            </w:pPr>
            <w:r w:rsidRPr="00D278AC">
              <w:rPr>
                <w:rFonts w:ascii="Calibri" w:hAnsi="Calibri"/>
              </w:rPr>
              <w:t>BCG +</w:t>
            </w:r>
            <w:proofErr w:type="spellStart"/>
            <w:r w:rsidRPr="00D278AC">
              <w:rPr>
                <w:rFonts w:ascii="Calibri" w:hAnsi="Calibri"/>
              </w:rPr>
              <w:t>VPO</w:t>
            </w:r>
            <w:r>
              <w:rPr>
                <w:rFonts w:ascii="Calibri" w:hAnsi="Calibri"/>
              </w:rPr>
              <w:t>b</w:t>
            </w:r>
            <w:proofErr w:type="spellEnd"/>
            <w:r w:rsidRPr="00D278AC">
              <w:rPr>
                <w:rFonts w:ascii="Calibri" w:hAnsi="Calibri"/>
              </w:rPr>
              <w:t xml:space="preserve"> 0</w:t>
            </w:r>
          </w:p>
          <w:p w:rsidR="005D2ED1" w:rsidRPr="00D278AC" w:rsidRDefault="005D2ED1" w:rsidP="00A718E5">
            <w:pPr>
              <w:spacing w:line="240" w:lineRule="auto"/>
              <w:rPr>
                <w:rFonts w:ascii="Calibri" w:hAnsi="Calibri"/>
              </w:rPr>
            </w:pPr>
            <w:proofErr w:type="spellStart"/>
            <w:r w:rsidRPr="00536D43">
              <w:rPr>
                <w:rFonts w:ascii="Calibri" w:hAnsi="Calibri"/>
                <w:color w:val="00B050"/>
              </w:rPr>
              <w:t>HepB</w:t>
            </w:r>
            <w:proofErr w:type="spellEnd"/>
          </w:p>
        </w:tc>
        <w:tc>
          <w:tcPr>
            <w:tcW w:w="1082" w:type="pct"/>
            <w:shd w:val="clear" w:color="auto" w:fill="FFFFFF"/>
            <w:tcMar>
              <w:top w:w="92" w:type="dxa"/>
              <w:left w:w="142" w:type="dxa"/>
              <w:bottom w:w="74" w:type="dxa"/>
              <w:right w:w="142" w:type="dxa"/>
            </w:tcMar>
            <w:hideMark/>
          </w:tcPr>
          <w:p w:rsidR="005D2ED1" w:rsidRPr="00D278AC" w:rsidRDefault="005D2ED1" w:rsidP="00A718E5">
            <w:pPr>
              <w:spacing w:line="240" w:lineRule="auto"/>
              <w:rPr>
                <w:rFonts w:ascii="Calibri" w:hAnsi="Calibri"/>
              </w:rPr>
            </w:pPr>
            <w:r w:rsidRPr="00D278AC">
              <w:rPr>
                <w:rFonts w:ascii="Calibri" w:hAnsi="Calibri"/>
              </w:rPr>
              <w:t>BCG = Intradermique</w:t>
            </w:r>
          </w:p>
          <w:p w:rsidR="005D2ED1" w:rsidRDefault="005D2ED1" w:rsidP="00A718E5">
            <w:pPr>
              <w:spacing w:line="240" w:lineRule="auto"/>
              <w:rPr>
                <w:rFonts w:ascii="Calibri" w:hAnsi="Calibri"/>
              </w:rPr>
            </w:pPr>
            <w:r w:rsidRPr="00D278AC">
              <w:rPr>
                <w:rFonts w:ascii="Calibri" w:hAnsi="Calibri"/>
              </w:rPr>
              <w:t>Polio = orale</w:t>
            </w:r>
          </w:p>
          <w:p w:rsidR="005D2ED1" w:rsidRPr="00D278AC" w:rsidRDefault="005D2ED1" w:rsidP="00A718E5">
            <w:pPr>
              <w:spacing w:line="240" w:lineRule="auto"/>
              <w:rPr>
                <w:rFonts w:ascii="Calibri" w:hAnsi="Calibri"/>
              </w:rPr>
            </w:pPr>
            <w:r w:rsidRPr="00536D43">
              <w:rPr>
                <w:rFonts w:ascii="Calibri" w:hAnsi="Calibri"/>
                <w:color w:val="00B050"/>
              </w:rPr>
              <w:t xml:space="preserve">Intramusculaire </w:t>
            </w:r>
          </w:p>
        </w:tc>
        <w:tc>
          <w:tcPr>
            <w:tcW w:w="1757" w:type="pct"/>
            <w:shd w:val="clear" w:color="auto" w:fill="FFFFFF"/>
            <w:tcMar>
              <w:top w:w="92" w:type="dxa"/>
              <w:left w:w="142" w:type="dxa"/>
              <w:bottom w:w="74" w:type="dxa"/>
              <w:right w:w="142" w:type="dxa"/>
            </w:tcMar>
            <w:hideMark/>
          </w:tcPr>
          <w:p w:rsidR="005D2ED1" w:rsidRPr="00D278AC" w:rsidRDefault="005D2ED1" w:rsidP="00A718E5">
            <w:pPr>
              <w:spacing w:line="240" w:lineRule="auto"/>
              <w:rPr>
                <w:rFonts w:ascii="Calibri" w:hAnsi="Calibri"/>
              </w:rPr>
            </w:pPr>
            <w:r w:rsidRPr="00D278AC">
              <w:rPr>
                <w:rFonts w:ascii="Calibri" w:hAnsi="Calibri"/>
              </w:rPr>
              <w:t>- Avant-bras gauche</w:t>
            </w:r>
          </w:p>
          <w:p w:rsidR="005D2ED1" w:rsidRDefault="005D2ED1" w:rsidP="00A718E5">
            <w:pPr>
              <w:spacing w:line="240" w:lineRule="auto"/>
              <w:rPr>
                <w:rFonts w:ascii="Calibri" w:hAnsi="Calibri"/>
              </w:rPr>
            </w:pPr>
            <w:r w:rsidRPr="00D278AC">
              <w:rPr>
                <w:rFonts w:ascii="Calibri" w:hAnsi="Calibri"/>
              </w:rPr>
              <w:t>- Bouche</w:t>
            </w:r>
          </w:p>
          <w:p w:rsidR="005D2ED1" w:rsidRPr="00D278AC" w:rsidRDefault="005D2ED1" w:rsidP="00A718E5">
            <w:pPr>
              <w:spacing w:line="240" w:lineRule="auto"/>
              <w:rPr>
                <w:rFonts w:ascii="Calibri" w:hAnsi="Calibri"/>
              </w:rPr>
            </w:pPr>
            <w:r w:rsidRPr="00536D43">
              <w:rPr>
                <w:rFonts w:ascii="Calibri" w:hAnsi="Calibri"/>
                <w:color w:val="00B050"/>
              </w:rPr>
              <w:t xml:space="preserve">-1/3 moyen de la cuisse droite </w:t>
            </w:r>
          </w:p>
        </w:tc>
      </w:tr>
      <w:tr w:rsidR="005D2ED1" w:rsidRPr="00D278AC" w:rsidTr="007F18CB">
        <w:trPr>
          <w:trHeight w:val="1010"/>
        </w:trPr>
        <w:tc>
          <w:tcPr>
            <w:tcW w:w="405" w:type="pct"/>
            <w:shd w:val="clear" w:color="auto" w:fill="DEEAF6"/>
          </w:tcPr>
          <w:p w:rsidR="005D2ED1" w:rsidRPr="00D278AC" w:rsidRDefault="005D2ED1" w:rsidP="00A718E5">
            <w:pPr>
              <w:rPr>
                <w:rFonts w:ascii="Calibri" w:hAnsi="Calibri"/>
              </w:rPr>
            </w:pPr>
            <w:r>
              <w:rPr>
                <w:rFonts w:ascii="Calibri" w:hAnsi="Calibri"/>
              </w:rPr>
              <w:t>2</w:t>
            </w:r>
          </w:p>
        </w:tc>
        <w:tc>
          <w:tcPr>
            <w:tcW w:w="649"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6 semaines</w:t>
            </w:r>
          </w:p>
        </w:tc>
        <w:tc>
          <w:tcPr>
            <w:tcW w:w="1107"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 xml:space="preserve">Penta 1 + </w:t>
            </w:r>
            <w:proofErr w:type="spellStart"/>
            <w:r w:rsidRPr="00D278AC">
              <w:rPr>
                <w:rFonts w:ascii="Calibri" w:hAnsi="Calibri"/>
              </w:rPr>
              <w:t>VPO</w:t>
            </w:r>
            <w:r>
              <w:rPr>
                <w:rFonts w:ascii="Calibri" w:hAnsi="Calibri"/>
              </w:rPr>
              <w:t>b</w:t>
            </w:r>
            <w:proofErr w:type="spellEnd"/>
            <w:r w:rsidRPr="00D278AC">
              <w:rPr>
                <w:rFonts w:ascii="Calibri" w:hAnsi="Calibri"/>
              </w:rPr>
              <w:t xml:space="preserve"> 1 </w:t>
            </w:r>
          </w:p>
        </w:tc>
        <w:tc>
          <w:tcPr>
            <w:tcW w:w="1082"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Penta = IM</w:t>
            </w:r>
          </w:p>
          <w:p w:rsidR="005D2ED1" w:rsidRPr="00D278AC" w:rsidRDefault="005D2ED1" w:rsidP="00A718E5">
            <w:pPr>
              <w:rPr>
                <w:rFonts w:ascii="Calibri" w:hAnsi="Calibri"/>
              </w:rPr>
            </w:pPr>
            <w:r w:rsidRPr="00D278AC">
              <w:rPr>
                <w:rFonts w:ascii="Calibri" w:hAnsi="Calibri"/>
              </w:rPr>
              <w:t xml:space="preserve">Polio= Orale, </w:t>
            </w:r>
          </w:p>
        </w:tc>
        <w:tc>
          <w:tcPr>
            <w:tcW w:w="1757"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 xml:space="preserve">- 1/3 moyen face </w:t>
            </w:r>
            <w:proofErr w:type="spellStart"/>
            <w:r w:rsidRPr="00D278AC">
              <w:rPr>
                <w:rFonts w:ascii="Calibri" w:hAnsi="Calibri"/>
              </w:rPr>
              <w:t>antero</w:t>
            </w:r>
            <w:proofErr w:type="spellEnd"/>
            <w:r w:rsidRPr="00D278AC">
              <w:rPr>
                <w:rFonts w:ascii="Calibri" w:hAnsi="Calibri"/>
              </w:rPr>
              <w:t>-externe cuisse</w:t>
            </w:r>
          </w:p>
          <w:p w:rsidR="005D2ED1" w:rsidRPr="00D278AC" w:rsidRDefault="005D2ED1" w:rsidP="00A718E5">
            <w:pPr>
              <w:rPr>
                <w:rFonts w:ascii="Calibri" w:hAnsi="Calibri"/>
              </w:rPr>
            </w:pPr>
            <w:r w:rsidRPr="00D278AC">
              <w:rPr>
                <w:rFonts w:ascii="Calibri" w:hAnsi="Calibri"/>
              </w:rPr>
              <w:t>- Bouche</w:t>
            </w:r>
          </w:p>
        </w:tc>
      </w:tr>
      <w:tr w:rsidR="005D2ED1" w:rsidRPr="00D278AC" w:rsidTr="007F18CB">
        <w:trPr>
          <w:trHeight w:val="818"/>
        </w:trPr>
        <w:tc>
          <w:tcPr>
            <w:tcW w:w="405" w:type="pct"/>
            <w:shd w:val="clear" w:color="auto" w:fill="FFFFFF"/>
          </w:tcPr>
          <w:p w:rsidR="005D2ED1" w:rsidRPr="00D278AC" w:rsidRDefault="005D2ED1" w:rsidP="00A718E5">
            <w:pPr>
              <w:rPr>
                <w:rFonts w:ascii="Calibri" w:hAnsi="Calibri"/>
              </w:rPr>
            </w:pPr>
            <w:r>
              <w:rPr>
                <w:rFonts w:ascii="Calibri" w:hAnsi="Calibri"/>
              </w:rPr>
              <w:t>3</w:t>
            </w:r>
          </w:p>
        </w:tc>
        <w:tc>
          <w:tcPr>
            <w:tcW w:w="649" w:type="pct"/>
            <w:shd w:val="clear" w:color="auto" w:fill="FFFFFF"/>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10 semaines</w:t>
            </w:r>
          </w:p>
        </w:tc>
        <w:tc>
          <w:tcPr>
            <w:tcW w:w="1107" w:type="pct"/>
            <w:shd w:val="clear" w:color="auto" w:fill="FFFFFF"/>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 xml:space="preserve">Penta 2 + </w:t>
            </w:r>
            <w:proofErr w:type="spellStart"/>
            <w:r w:rsidRPr="00D278AC">
              <w:rPr>
                <w:rFonts w:ascii="Calibri" w:hAnsi="Calibri"/>
              </w:rPr>
              <w:t>VPO</w:t>
            </w:r>
            <w:r>
              <w:rPr>
                <w:rFonts w:ascii="Calibri" w:hAnsi="Calibri"/>
              </w:rPr>
              <w:t>b</w:t>
            </w:r>
            <w:proofErr w:type="spellEnd"/>
            <w:r w:rsidRPr="00D278AC">
              <w:rPr>
                <w:rFonts w:ascii="Calibri" w:hAnsi="Calibri"/>
              </w:rPr>
              <w:t xml:space="preserve"> 2 </w:t>
            </w:r>
          </w:p>
        </w:tc>
        <w:tc>
          <w:tcPr>
            <w:tcW w:w="1082" w:type="pct"/>
            <w:shd w:val="clear" w:color="auto" w:fill="FFFFFF"/>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Penta = IM</w:t>
            </w:r>
          </w:p>
          <w:p w:rsidR="005D2ED1" w:rsidRPr="00D278AC" w:rsidRDefault="005D2ED1" w:rsidP="00A718E5">
            <w:pPr>
              <w:rPr>
                <w:rFonts w:ascii="Calibri" w:hAnsi="Calibri"/>
              </w:rPr>
            </w:pPr>
            <w:r w:rsidRPr="00D278AC">
              <w:rPr>
                <w:rFonts w:ascii="Calibri" w:hAnsi="Calibri"/>
              </w:rPr>
              <w:t>Polio = Orale</w:t>
            </w:r>
          </w:p>
        </w:tc>
        <w:tc>
          <w:tcPr>
            <w:tcW w:w="1757" w:type="pct"/>
            <w:shd w:val="clear" w:color="auto" w:fill="FFFFFF"/>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 xml:space="preserve">- 1/3 moyen face </w:t>
            </w:r>
            <w:proofErr w:type="spellStart"/>
            <w:r w:rsidRPr="00D278AC">
              <w:rPr>
                <w:rFonts w:ascii="Calibri" w:hAnsi="Calibri"/>
              </w:rPr>
              <w:t>antero</w:t>
            </w:r>
            <w:proofErr w:type="spellEnd"/>
            <w:r w:rsidRPr="00D278AC">
              <w:rPr>
                <w:rFonts w:ascii="Calibri" w:hAnsi="Calibri"/>
              </w:rPr>
              <w:t>-externe cuisse</w:t>
            </w:r>
          </w:p>
          <w:p w:rsidR="005D2ED1" w:rsidRPr="00D278AC" w:rsidRDefault="005D2ED1" w:rsidP="00A718E5">
            <w:pPr>
              <w:rPr>
                <w:rFonts w:ascii="Calibri" w:hAnsi="Calibri"/>
              </w:rPr>
            </w:pPr>
            <w:r w:rsidRPr="00D278AC">
              <w:rPr>
                <w:rFonts w:ascii="Calibri" w:hAnsi="Calibri"/>
              </w:rPr>
              <w:t>- Bouche</w:t>
            </w:r>
          </w:p>
        </w:tc>
      </w:tr>
      <w:tr w:rsidR="005D2ED1" w:rsidRPr="00D278AC" w:rsidTr="007F18CB">
        <w:trPr>
          <w:trHeight w:val="1395"/>
        </w:trPr>
        <w:tc>
          <w:tcPr>
            <w:tcW w:w="405" w:type="pct"/>
            <w:shd w:val="clear" w:color="auto" w:fill="DEEAF6"/>
          </w:tcPr>
          <w:p w:rsidR="005D2ED1" w:rsidRPr="00D278AC" w:rsidRDefault="005D2ED1" w:rsidP="00A718E5">
            <w:pPr>
              <w:rPr>
                <w:rFonts w:ascii="Calibri" w:hAnsi="Calibri"/>
              </w:rPr>
            </w:pPr>
            <w:r>
              <w:rPr>
                <w:rFonts w:ascii="Calibri" w:hAnsi="Calibri"/>
              </w:rPr>
              <w:t>4</w:t>
            </w:r>
          </w:p>
        </w:tc>
        <w:tc>
          <w:tcPr>
            <w:tcW w:w="649"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14 semaines</w:t>
            </w:r>
          </w:p>
        </w:tc>
        <w:tc>
          <w:tcPr>
            <w:tcW w:w="1107"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 xml:space="preserve">Penta 3 + </w:t>
            </w:r>
            <w:proofErr w:type="spellStart"/>
            <w:r w:rsidRPr="00D278AC">
              <w:rPr>
                <w:rFonts w:ascii="Calibri" w:hAnsi="Calibri"/>
              </w:rPr>
              <w:t>VPO</w:t>
            </w:r>
            <w:r>
              <w:rPr>
                <w:rFonts w:ascii="Calibri" w:hAnsi="Calibri"/>
              </w:rPr>
              <w:t>b</w:t>
            </w:r>
            <w:proofErr w:type="spellEnd"/>
            <w:r w:rsidRPr="00D278AC">
              <w:rPr>
                <w:rFonts w:ascii="Calibri" w:hAnsi="Calibri"/>
              </w:rPr>
              <w:t xml:space="preserve"> 3 + VPI</w:t>
            </w:r>
          </w:p>
        </w:tc>
        <w:tc>
          <w:tcPr>
            <w:tcW w:w="1082"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 xml:space="preserve">Penta =IM  </w:t>
            </w:r>
          </w:p>
          <w:p w:rsidR="005D2ED1" w:rsidRPr="00D278AC" w:rsidRDefault="005D2ED1" w:rsidP="00A718E5">
            <w:pPr>
              <w:rPr>
                <w:rFonts w:ascii="Calibri" w:hAnsi="Calibri"/>
              </w:rPr>
            </w:pPr>
            <w:r w:rsidRPr="00D278AC">
              <w:rPr>
                <w:rFonts w:ascii="Calibri" w:hAnsi="Calibri"/>
              </w:rPr>
              <w:t>Polio = orale</w:t>
            </w:r>
          </w:p>
          <w:p w:rsidR="005D2ED1" w:rsidRPr="00D278AC" w:rsidRDefault="005D2ED1" w:rsidP="00A718E5">
            <w:pPr>
              <w:rPr>
                <w:rFonts w:ascii="Calibri" w:hAnsi="Calibri"/>
              </w:rPr>
            </w:pPr>
            <w:r w:rsidRPr="00D278AC">
              <w:rPr>
                <w:rFonts w:ascii="Calibri" w:hAnsi="Calibri"/>
              </w:rPr>
              <w:t>VPI : IM</w:t>
            </w:r>
          </w:p>
        </w:tc>
        <w:tc>
          <w:tcPr>
            <w:tcW w:w="1757" w:type="pct"/>
            <w:shd w:val="clear" w:color="auto" w:fill="DEEAF6"/>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 xml:space="preserve">- 1/3 moyen face </w:t>
            </w:r>
            <w:proofErr w:type="spellStart"/>
            <w:r w:rsidRPr="00D278AC">
              <w:rPr>
                <w:rFonts w:ascii="Calibri" w:hAnsi="Calibri"/>
              </w:rPr>
              <w:t>antero</w:t>
            </w:r>
            <w:proofErr w:type="spellEnd"/>
            <w:r w:rsidRPr="00D278AC">
              <w:rPr>
                <w:rFonts w:ascii="Calibri" w:hAnsi="Calibri"/>
              </w:rPr>
              <w:t>-externe cuisse</w:t>
            </w:r>
          </w:p>
          <w:p w:rsidR="005D2ED1" w:rsidRPr="00D278AC" w:rsidRDefault="005D2ED1" w:rsidP="00A718E5">
            <w:pPr>
              <w:rPr>
                <w:rFonts w:ascii="Calibri" w:hAnsi="Calibri"/>
              </w:rPr>
            </w:pPr>
            <w:r w:rsidRPr="00D278AC">
              <w:rPr>
                <w:rFonts w:ascii="Calibri" w:hAnsi="Calibri"/>
              </w:rPr>
              <w:t>- Bouche</w:t>
            </w:r>
          </w:p>
        </w:tc>
      </w:tr>
      <w:tr w:rsidR="005D2ED1" w:rsidRPr="00D278AC" w:rsidTr="007F18CB">
        <w:trPr>
          <w:trHeight w:val="399"/>
        </w:trPr>
        <w:tc>
          <w:tcPr>
            <w:tcW w:w="405" w:type="pct"/>
            <w:shd w:val="clear" w:color="auto" w:fill="FFFFFF"/>
          </w:tcPr>
          <w:p w:rsidR="005D2ED1" w:rsidRPr="00042EA6" w:rsidRDefault="005D2ED1" w:rsidP="00A718E5">
            <w:pPr>
              <w:rPr>
                <w:rFonts w:ascii="Calibri" w:hAnsi="Calibri"/>
              </w:rPr>
            </w:pPr>
            <w:r w:rsidRPr="00042EA6">
              <w:rPr>
                <w:rFonts w:ascii="Calibri" w:hAnsi="Calibri"/>
              </w:rPr>
              <w:t>5</w:t>
            </w:r>
          </w:p>
        </w:tc>
        <w:tc>
          <w:tcPr>
            <w:tcW w:w="649" w:type="pct"/>
            <w:shd w:val="clear" w:color="auto" w:fill="FFFFFF"/>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9 à 11 mois</w:t>
            </w:r>
          </w:p>
        </w:tc>
        <w:tc>
          <w:tcPr>
            <w:tcW w:w="1107" w:type="pct"/>
            <w:shd w:val="clear" w:color="auto" w:fill="FFFFFF"/>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 xml:space="preserve">VAR1 + VAA </w:t>
            </w:r>
          </w:p>
        </w:tc>
        <w:tc>
          <w:tcPr>
            <w:tcW w:w="1082" w:type="pct"/>
            <w:shd w:val="clear" w:color="auto" w:fill="FFFFFF"/>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Sous-cutanée</w:t>
            </w:r>
          </w:p>
        </w:tc>
        <w:tc>
          <w:tcPr>
            <w:tcW w:w="1757" w:type="pct"/>
            <w:shd w:val="clear" w:color="auto" w:fill="FFFFFF"/>
            <w:tcMar>
              <w:top w:w="92" w:type="dxa"/>
              <w:left w:w="142" w:type="dxa"/>
              <w:bottom w:w="74" w:type="dxa"/>
              <w:right w:w="142" w:type="dxa"/>
            </w:tcMar>
            <w:hideMark/>
          </w:tcPr>
          <w:p w:rsidR="005D2ED1" w:rsidRPr="00D278AC" w:rsidRDefault="005D2ED1" w:rsidP="00A718E5">
            <w:pPr>
              <w:rPr>
                <w:rFonts w:ascii="Calibri" w:hAnsi="Calibri"/>
              </w:rPr>
            </w:pPr>
            <w:r w:rsidRPr="00D278AC">
              <w:rPr>
                <w:rFonts w:ascii="Calibri" w:hAnsi="Calibri"/>
              </w:rPr>
              <w:t xml:space="preserve">Bras </w:t>
            </w:r>
            <w:r>
              <w:rPr>
                <w:rFonts w:ascii="Calibri" w:hAnsi="Calibri"/>
              </w:rPr>
              <w:t>gauche et droit</w:t>
            </w:r>
            <w:r w:rsidRPr="00D278AC">
              <w:rPr>
                <w:rFonts w:ascii="Calibri" w:hAnsi="Calibri"/>
              </w:rPr>
              <w:t xml:space="preserve"> (deltoïde)</w:t>
            </w:r>
          </w:p>
        </w:tc>
      </w:tr>
      <w:tr w:rsidR="005D2ED1" w:rsidRPr="00D278AC" w:rsidTr="007F18CB">
        <w:trPr>
          <w:trHeight w:val="436"/>
        </w:trPr>
        <w:tc>
          <w:tcPr>
            <w:tcW w:w="405" w:type="pct"/>
            <w:shd w:val="clear" w:color="auto" w:fill="DEEAF6"/>
          </w:tcPr>
          <w:p w:rsidR="005D2ED1" w:rsidRPr="00042EA6" w:rsidRDefault="005D2ED1" w:rsidP="00A718E5">
            <w:pPr>
              <w:rPr>
                <w:rFonts w:ascii="Calibri" w:hAnsi="Calibri"/>
              </w:rPr>
            </w:pPr>
            <w:r w:rsidRPr="00536D43">
              <w:rPr>
                <w:rFonts w:ascii="Calibri" w:hAnsi="Calibri"/>
                <w:color w:val="00B050"/>
              </w:rPr>
              <w:t>6</w:t>
            </w:r>
          </w:p>
        </w:tc>
        <w:tc>
          <w:tcPr>
            <w:tcW w:w="649" w:type="pct"/>
            <w:shd w:val="clear" w:color="auto" w:fill="DEEAF6"/>
            <w:tcMar>
              <w:top w:w="92" w:type="dxa"/>
              <w:left w:w="142" w:type="dxa"/>
              <w:bottom w:w="74" w:type="dxa"/>
              <w:right w:w="142" w:type="dxa"/>
            </w:tcMar>
          </w:tcPr>
          <w:p w:rsidR="005D2ED1" w:rsidRPr="00536D43" w:rsidRDefault="005D2ED1" w:rsidP="00A718E5">
            <w:pPr>
              <w:rPr>
                <w:rFonts w:ascii="Calibri" w:hAnsi="Calibri"/>
                <w:color w:val="00B050"/>
              </w:rPr>
            </w:pPr>
            <w:r w:rsidRPr="00536D43">
              <w:rPr>
                <w:rFonts w:ascii="Calibri" w:hAnsi="Calibri"/>
                <w:color w:val="00B050"/>
              </w:rPr>
              <w:t>15 -18 mois</w:t>
            </w:r>
          </w:p>
        </w:tc>
        <w:tc>
          <w:tcPr>
            <w:tcW w:w="1107" w:type="pct"/>
            <w:shd w:val="clear" w:color="auto" w:fill="DEEAF6"/>
            <w:tcMar>
              <w:top w:w="92" w:type="dxa"/>
              <w:left w:w="142" w:type="dxa"/>
              <w:bottom w:w="74" w:type="dxa"/>
              <w:right w:w="142" w:type="dxa"/>
            </w:tcMar>
          </w:tcPr>
          <w:p w:rsidR="005D2ED1" w:rsidRPr="00536D43" w:rsidRDefault="005D2ED1" w:rsidP="00A718E5">
            <w:pPr>
              <w:rPr>
                <w:rFonts w:ascii="Calibri" w:hAnsi="Calibri"/>
                <w:color w:val="00B050"/>
              </w:rPr>
            </w:pPr>
            <w:r w:rsidRPr="00536D43">
              <w:rPr>
                <w:rFonts w:ascii="Calibri" w:hAnsi="Calibri"/>
                <w:color w:val="00B050"/>
              </w:rPr>
              <w:t>VAR2</w:t>
            </w:r>
          </w:p>
        </w:tc>
        <w:tc>
          <w:tcPr>
            <w:tcW w:w="1082" w:type="pct"/>
            <w:shd w:val="clear" w:color="auto" w:fill="DEEAF6"/>
            <w:tcMar>
              <w:top w:w="92" w:type="dxa"/>
              <w:left w:w="142" w:type="dxa"/>
              <w:bottom w:w="74" w:type="dxa"/>
              <w:right w:w="142" w:type="dxa"/>
            </w:tcMar>
          </w:tcPr>
          <w:p w:rsidR="005D2ED1" w:rsidRPr="00536D43" w:rsidRDefault="005D2ED1" w:rsidP="00A718E5">
            <w:pPr>
              <w:rPr>
                <w:rFonts w:ascii="Calibri" w:hAnsi="Calibri"/>
                <w:color w:val="00B050"/>
              </w:rPr>
            </w:pPr>
            <w:r w:rsidRPr="00536D43">
              <w:rPr>
                <w:rFonts w:ascii="Calibri" w:hAnsi="Calibri"/>
                <w:color w:val="00B050"/>
              </w:rPr>
              <w:t>Sous-cutanée</w:t>
            </w:r>
          </w:p>
        </w:tc>
        <w:tc>
          <w:tcPr>
            <w:tcW w:w="1757" w:type="pct"/>
            <w:shd w:val="clear" w:color="auto" w:fill="DEEAF6"/>
            <w:tcMar>
              <w:top w:w="92" w:type="dxa"/>
              <w:left w:w="142" w:type="dxa"/>
              <w:bottom w:w="74" w:type="dxa"/>
              <w:right w:w="142" w:type="dxa"/>
            </w:tcMar>
          </w:tcPr>
          <w:p w:rsidR="005D2ED1" w:rsidRPr="00536D43" w:rsidRDefault="005D2ED1" w:rsidP="00A718E5">
            <w:pPr>
              <w:rPr>
                <w:rFonts w:ascii="Calibri" w:hAnsi="Calibri"/>
                <w:color w:val="00B050"/>
              </w:rPr>
            </w:pPr>
            <w:r w:rsidRPr="00536D43">
              <w:rPr>
                <w:rFonts w:ascii="Calibri" w:hAnsi="Calibri"/>
                <w:color w:val="00B050"/>
              </w:rPr>
              <w:t>Bras gauche  (deltoïde)</w:t>
            </w:r>
          </w:p>
        </w:tc>
      </w:tr>
    </w:tbl>
    <w:p w:rsidR="005D2ED1" w:rsidRPr="00D278AC" w:rsidRDefault="005D2ED1" w:rsidP="005D2ED1">
      <w:pPr>
        <w:rPr>
          <w:rFonts w:ascii="Calibri" w:hAnsi="Calibri"/>
        </w:rPr>
      </w:pPr>
    </w:p>
    <w:p w:rsidR="005D2ED1" w:rsidRPr="00D278AC" w:rsidRDefault="005D2ED1" w:rsidP="005D2ED1">
      <w:pPr>
        <w:rPr>
          <w:rFonts w:ascii="Calibri" w:hAnsi="Calibri"/>
        </w:rPr>
      </w:pPr>
    </w:p>
    <w:p w:rsidR="005D2ED1" w:rsidRPr="00D278AC" w:rsidRDefault="005D2ED1" w:rsidP="005D2ED1">
      <w:pPr>
        <w:rPr>
          <w:rFonts w:ascii="Calibri" w:hAnsi="Calibri"/>
        </w:rPr>
      </w:pPr>
    </w:p>
    <w:p w:rsidR="005D2ED1" w:rsidRDefault="005D2ED1" w:rsidP="005D2ED1">
      <w:pPr>
        <w:rPr>
          <w:lang w:eastAsia="fr-FR"/>
        </w:rPr>
      </w:pPr>
    </w:p>
    <w:p w:rsidR="005D2ED1" w:rsidRPr="004E1721" w:rsidRDefault="005D2ED1" w:rsidP="005D2ED1">
      <w:pPr>
        <w:rPr>
          <w:lang w:eastAsia="fr-FR"/>
        </w:rPr>
      </w:pPr>
    </w:p>
    <w:p w:rsidR="005D2ED1" w:rsidRDefault="005D2ED1" w:rsidP="005D2ED1">
      <w:pPr>
        <w:pStyle w:val="Lgende"/>
        <w:jc w:val="center"/>
      </w:pPr>
    </w:p>
    <w:p w:rsidR="005D2ED1" w:rsidRDefault="005D2ED1" w:rsidP="005D2ED1">
      <w:pPr>
        <w:pStyle w:val="Lgende"/>
        <w:spacing w:after="120"/>
        <w:jc w:val="center"/>
      </w:pPr>
    </w:p>
    <w:p w:rsidR="005D2ED1" w:rsidRDefault="005D2ED1" w:rsidP="005D2ED1">
      <w:pPr>
        <w:pStyle w:val="Lgende"/>
        <w:spacing w:after="120"/>
        <w:jc w:val="center"/>
      </w:pPr>
    </w:p>
    <w:p w:rsidR="005D2ED1" w:rsidRDefault="005D2ED1" w:rsidP="005D2ED1">
      <w:pPr>
        <w:pStyle w:val="Lgende"/>
        <w:spacing w:after="120"/>
        <w:jc w:val="center"/>
      </w:pPr>
    </w:p>
    <w:p w:rsidR="005D2ED1" w:rsidRDefault="005D2ED1" w:rsidP="005D2ED1">
      <w:pPr>
        <w:pStyle w:val="Lgende"/>
        <w:spacing w:after="120"/>
        <w:jc w:val="center"/>
      </w:pPr>
    </w:p>
    <w:p w:rsidR="005D2ED1" w:rsidRPr="00621BF1" w:rsidRDefault="005D2ED1" w:rsidP="005D2ED1">
      <w:pPr>
        <w:pStyle w:val="Lgende"/>
        <w:spacing w:after="120"/>
        <w:jc w:val="center"/>
      </w:pPr>
      <w:r w:rsidRPr="00621BF1">
        <w:t xml:space="preserve">Tableau </w:t>
      </w:r>
      <w:r w:rsidR="00B51B2E" w:rsidRPr="00621BF1">
        <w:fldChar w:fldCharType="begin"/>
      </w:r>
      <w:r w:rsidRPr="00621BF1">
        <w:instrText xml:space="preserve"> SEQ Tableau \* ARABIC </w:instrText>
      </w:r>
      <w:r w:rsidR="00B51B2E" w:rsidRPr="00621BF1">
        <w:fldChar w:fldCharType="separate"/>
      </w:r>
      <w:r>
        <w:rPr>
          <w:noProof/>
        </w:rPr>
        <w:t>2</w:t>
      </w:r>
      <w:r w:rsidR="00B51B2E" w:rsidRPr="00621BF1">
        <w:fldChar w:fldCharType="end"/>
      </w:r>
      <w:r w:rsidRPr="00621BF1">
        <w:t xml:space="preserve">: </w:t>
      </w:r>
      <w:r w:rsidRPr="00621BF1">
        <w:rPr>
          <w:b/>
        </w:rPr>
        <w:t>Calendrier vaccinal de routine des femmes enceintes</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80"/>
        <w:gridCol w:w="5040"/>
        <w:gridCol w:w="1080"/>
      </w:tblGrid>
      <w:tr w:rsidR="005D2ED1" w:rsidRPr="00621BF1" w:rsidTr="00A718E5">
        <w:trPr>
          <w:trHeight w:val="122"/>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rsidR="005D2ED1" w:rsidRPr="00621BF1" w:rsidRDefault="005D2ED1" w:rsidP="00A718E5">
            <w:pPr>
              <w:spacing w:after="120"/>
              <w:jc w:val="center"/>
              <w:rPr>
                <w:rFonts w:cs="Arial"/>
                <w:bCs/>
                <w:color w:val="FFFFFF" w:themeColor="background1"/>
              </w:rPr>
            </w:pPr>
            <w:r w:rsidRPr="00621BF1">
              <w:rPr>
                <w:rFonts w:cs="Arial"/>
                <w:bCs/>
                <w:color w:val="FFFFFF" w:themeColor="background1"/>
              </w:rPr>
              <w:t>Contact</w:t>
            </w:r>
          </w:p>
        </w:tc>
        <w:tc>
          <w:tcPr>
            <w:tcW w:w="5040"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rsidR="005D2ED1" w:rsidRPr="00621BF1" w:rsidRDefault="005D2ED1" w:rsidP="00A718E5">
            <w:pPr>
              <w:spacing w:after="120"/>
              <w:jc w:val="center"/>
              <w:rPr>
                <w:rFonts w:cs="Arial"/>
                <w:bCs/>
                <w:color w:val="FFFFFF" w:themeColor="background1"/>
              </w:rPr>
            </w:pPr>
            <w:r w:rsidRPr="00621BF1">
              <w:rPr>
                <w:rFonts w:cs="Arial"/>
                <w:bCs/>
                <w:color w:val="FFFFFF" w:themeColor="background1"/>
              </w:rPr>
              <w:t>Période</w:t>
            </w:r>
          </w:p>
        </w:tc>
        <w:tc>
          <w:tcPr>
            <w:tcW w:w="1080"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rsidR="005D2ED1" w:rsidRPr="00621BF1" w:rsidRDefault="005D2ED1" w:rsidP="00A718E5">
            <w:pPr>
              <w:spacing w:after="120"/>
              <w:jc w:val="center"/>
              <w:rPr>
                <w:rFonts w:cs="Arial"/>
                <w:bCs/>
                <w:color w:val="FFFFFF" w:themeColor="background1"/>
              </w:rPr>
            </w:pPr>
            <w:r w:rsidRPr="00621BF1">
              <w:rPr>
                <w:rFonts w:cs="Arial"/>
                <w:bCs/>
                <w:color w:val="FFFFFF" w:themeColor="background1"/>
              </w:rPr>
              <w:t>Antigènes</w:t>
            </w:r>
          </w:p>
        </w:tc>
      </w:tr>
      <w:tr w:rsidR="005D2ED1" w:rsidRPr="00621BF1" w:rsidTr="00A718E5">
        <w:trPr>
          <w:trHeight w:val="24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5D2ED1" w:rsidRPr="00621BF1" w:rsidRDefault="005D2ED1" w:rsidP="00A718E5">
            <w:pPr>
              <w:spacing w:after="120"/>
              <w:jc w:val="both"/>
              <w:rPr>
                <w:rFonts w:cs="Arial"/>
                <w:bCs/>
              </w:rPr>
            </w:pPr>
            <w:r w:rsidRPr="00621BF1">
              <w:rPr>
                <w:rFonts w:cs="Arial"/>
                <w:bCs/>
              </w:rPr>
              <w:t>1</w:t>
            </w:r>
          </w:p>
        </w:tc>
        <w:tc>
          <w:tcPr>
            <w:tcW w:w="5040" w:type="dxa"/>
            <w:tcBorders>
              <w:top w:val="single" w:sz="4" w:space="0" w:color="auto"/>
              <w:left w:val="single" w:sz="4" w:space="0" w:color="auto"/>
              <w:bottom w:val="single" w:sz="4" w:space="0" w:color="auto"/>
              <w:right w:val="single" w:sz="4" w:space="0" w:color="auto"/>
            </w:tcBorders>
            <w:vAlign w:val="center"/>
            <w:hideMark/>
          </w:tcPr>
          <w:p w:rsidR="005D2ED1" w:rsidRPr="00621BF1" w:rsidRDefault="005D2ED1" w:rsidP="00A718E5">
            <w:pPr>
              <w:spacing w:after="120"/>
              <w:jc w:val="both"/>
              <w:rPr>
                <w:rFonts w:cs="Arial"/>
                <w:bCs/>
              </w:rPr>
            </w:pPr>
            <w:r w:rsidRPr="00621BF1">
              <w:rPr>
                <w:rFonts w:cs="Arial"/>
                <w:bCs/>
              </w:rPr>
              <w:t>Dès le premier contact</w:t>
            </w:r>
          </w:p>
        </w:tc>
        <w:tc>
          <w:tcPr>
            <w:tcW w:w="1080" w:type="dxa"/>
            <w:tcBorders>
              <w:top w:val="single" w:sz="4" w:space="0" w:color="auto"/>
              <w:left w:val="single" w:sz="4" w:space="0" w:color="auto"/>
              <w:bottom w:val="single" w:sz="4" w:space="0" w:color="auto"/>
              <w:right w:val="single" w:sz="4" w:space="0" w:color="auto"/>
            </w:tcBorders>
            <w:vAlign w:val="center"/>
            <w:hideMark/>
          </w:tcPr>
          <w:p w:rsidR="005D2ED1" w:rsidRPr="00536D43" w:rsidRDefault="005D2ED1" w:rsidP="00A718E5">
            <w:pPr>
              <w:spacing w:after="120"/>
              <w:jc w:val="both"/>
              <w:rPr>
                <w:rFonts w:cs="Arial"/>
                <w:bCs/>
                <w:color w:val="00B050"/>
              </w:rPr>
            </w:pPr>
            <w:r w:rsidRPr="00536D43">
              <w:rPr>
                <w:rFonts w:cs="Arial"/>
                <w:bCs/>
                <w:color w:val="00B050"/>
              </w:rPr>
              <w:t>Td1</w:t>
            </w:r>
          </w:p>
        </w:tc>
      </w:tr>
      <w:tr w:rsidR="005D2ED1" w:rsidRPr="00621BF1" w:rsidTr="00A718E5">
        <w:trPr>
          <w:trHeight w:val="393"/>
          <w:jc w:val="center"/>
        </w:trPr>
        <w:tc>
          <w:tcPr>
            <w:tcW w:w="1080" w:type="dxa"/>
            <w:tcBorders>
              <w:top w:val="single" w:sz="4" w:space="0" w:color="auto"/>
              <w:left w:val="single" w:sz="4" w:space="0" w:color="auto"/>
              <w:bottom w:val="single" w:sz="4" w:space="0" w:color="auto"/>
              <w:right w:val="single" w:sz="4" w:space="0" w:color="auto"/>
            </w:tcBorders>
            <w:vAlign w:val="center"/>
          </w:tcPr>
          <w:p w:rsidR="005D2ED1" w:rsidRPr="00621BF1" w:rsidRDefault="005D2ED1" w:rsidP="00A718E5">
            <w:pPr>
              <w:spacing w:after="120"/>
              <w:jc w:val="both"/>
              <w:rPr>
                <w:rFonts w:cs="Arial"/>
                <w:bCs/>
              </w:rPr>
            </w:pPr>
            <w:r w:rsidRPr="00621BF1">
              <w:rPr>
                <w:rFonts w:cs="Arial"/>
                <w:bCs/>
              </w:rPr>
              <w:t>2</w:t>
            </w:r>
          </w:p>
          <w:p w:rsidR="005D2ED1" w:rsidRPr="00621BF1" w:rsidRDefault="005D2ED1" w:rsidP="00A718E5">
            <w:pPr>
              <w:spacing w:after="120"/>
              <w:jc w:val="both"/>
              <w:rPr>
                <w:rFonts w:cs="Arial"/>
                <w:bCs/>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5D2ED1" w:rsidRPr="00621BF1" w:rsidRDefault="005D2ED1" w:rsidP="00A718E5">
            <w:pPr>
              <w:spacing w:after="120"/>
              <w:jc w:val="both"/>
              <w:rPr>
                <w:rFonts w:cs="Arial"/>
                <w:bCs/>
              </w:rPr>
            </w:pPr>
            <w:r w:rsidRPr="00621BF1">
              <w:rPr>
                <w:rFonts w:cs="Arial"/>
                <w:bCs/>
              </w:rPr>
              <w:t>4 semaines après la première dose, mais pas plus tard que deux (2) semaines avant la date prévue pour l’accouchement</w:t>
            </w:r>
          </w:p>
        </w:tc>
        <w:tc>
          <w:tcPr>
            <w:tcW w:w="1080" w:type="dxa"/>
            <w:tcBorders>
              <w:top w:val="single" w:sz="4" w:space="0" w:color="auto"/>
              <w:left w:val="single" w:sz="4" w:space="0" w:color="auto"/>
              <w:bottom w:val="single" w:sz="4" w:space="0" w:color="auto"/>
              <w:right w:val="single" w:sz="4" w:space="0" w:color="auto"/>
            </w:tcBorders>
            <w:vAlign w:val="center"/>
          </w:tcPr>
          <w:p w:rsidR="005D2ED1" w:rsidRPr="00536D43" w:rsidRDefault="005D2ED1" w:rsidP="00A718E5">
            <w:pPr>
              <w:spacing w:after="120"/>
              <w:jc w:val="both"/>
              <w:rPr>
                <w:rFonts w:cs="Arial"/>
                <w:bCs/>
                <w:color w:val="00B050"/>
              </w:rPr>
            </w:pPr>
            <w:r w:rsidRPr="00536D43">
              <w:rPr>
                <w:rFonts w:cs="Arial"/>
                <w:bCs/>
                <w:color w:val="00B050"/>
              </w:rPr>
              <w:t>Td2</w:t>
            </w:r>
          </w:p>
        </w:tc>
      </w:tr>
      <w:tr w:rsidR="005D2ED1" w:rsidRPr="00621BF1" w:rsidTr="00A718E5">
        <w:trPr>
          <w:trHeight w:val="469"/>
          <w:jc w:val="center"/>
        </w:trPr>
        <w:tc>
          <w:tcPr>
            <w:tcW w:w="1080" w:type="dxa"/>
            <w:tcBorders>
              <w:top w:val="single" w:sz="4" w:space="0" w:color="auto"/>
              <w:left w:val="single" w:sz="4" w:space="0" w:color="auto"/>
              <w:bottom w:val="single" w:sz="4" w:space="0" w:color="auto"/>
              <w:right w:val="single" w:sz="4" w:space="0" w:color="auto"/>
            </w:tcBorders>
            <w:vAlign w:val="center"/>
          </w:tcPr>
          <w:p w:rsidR="005D2ED1" w:rsidRPr="00621BF1" w:rsidRDefault="005D2ED1" w:rsidP="00A718E5">
            <w:pPr>
              <w:spacing w:after="120"/>
              <w:jc w:val="both"/>
              <w:rPr>
                <w:rFonts w:cs="Arial"/>
                <w:bCs/>
              </w:rPr>
            </w:pPr>
            <w:r w:rsidRPr="00621BF1">
              <w:rPr>
                <w:rFonts w:cs="Arial"/>
                <w:bCs/>
              </w:rPr>
              <w:t>3</w:t>
            </w:r>
          </w:p>
        </w:tc>
        <w:tc>
          <w:tcPr>
            <w:tcW w:w="5040" w:type="dxa"/>
            <w:tcBorders>
              <w:top w:val="single" w:sz="4" w:space="0" w:color="auto"/>
              <w:left w:val="single" w:sz="4" w:space="0" w:color="auto"/>
              <w:bottom w:val="single" w:sz="4" w:space="0" w:color="auto"/>
              <w:right w:val="single" w:sz="4" w:space="0" w:color="auto"/>
            </w:tcBorders>
            <w:vAlign w:val="center"/>
            <w:hideMark/>
          </w:tcPr>
          <w:p w:rsidR="005D2ED1" w:rsidRPr="00621BF1" w:rsidRDefault="005D2ED1" w:rsidP="00A718E5">
            <w:pPr>
              <w:spacing w:after="120"/>
              <w:jc w:val="both"/>
              <w:rPr>
                <w:rFonts w:cs="Arial"/>
                <w:bCs/>
              </w:rPr>
            </w:pPr>
            <w:r w:rsidRPr="00621BF1">
              <w:rPr>
                <w:rFonts w:cs="Arial"/>
                <w:bCs/>
              </w:rPr>
              <w:t xml:space="preserve">Six (6) mois au moins après la deuxième dose </w:t>
            </w:r>
          </w:p>
        </w:tc>
        <w:tc>
          <w:tcPr>
            <w:tcW w:w="1080" w:type="dxa"/>
            <w:tcBorders>
              <w:top w:val="single" w:sz="4" w:space="0" w:color="auto"/>
              <w:left w:val="single" w:sz="4" w:space="0" w:color="auto"/>
              <w:bottom w:val="single" w:sz="4" w:space="0" w:color="auto"/>
              <w:right w:val="single" w:sz="4" w:space="0" w:color="auto"/>
            </w:tcBorders>
          </w:tcPr>
          <w:p w:rsidR="005D2ED1" w:rsidRPr="00536D43" w:rsidRDefault="005D2ED1" w:rsidP="00A718E5">
            <w:pPr>
              <w:rPr>
                <w:color w:val="00B050"/>
              </w:rPr>
            </w:pPr>
            <w:r w:rsidRPr="00536D43">
              <w:rPr>
                <w:rFonts w:cs="Arial"/>
                <w:bCs/>
                <w:color w:val="00B050"/>
              </w:rPr>
              <w:t>Td3</w:t>
            </w:r>
          </w:p>
        </w:tc>
      </w:tr>
      <w:tr w:rsidR="005D2ED1" w:rsidRPr="00621BF1" w:rsidTr="00A718E5">
        <w:trPr>
          <w:trHeight w:val="471"/>
          <w:jc w:val="center"/>
        </w:trPr>
        <w:tc>
          <w:tcPr>
            <w:tcW w:w="1080" w:type="dxa"/>
            <w:tcBorders>
              <w:top w:val="single" w:sz="4" w:space="0" w:color="auto"/>
              <w:left w:val="single" w:sz="4" w:space="0" w:color="auto"/>
              <w:bottom w:val="single" w:sz="4" w:space="0" w:color="auto"/>
              <w:right w:val="single" w:sz="4" w:space="0" w:color="auto"/>
            </w:tcBorders>
            <w:vAlign w:val="center"/>
          </w:tcPr>
          <w:p w:rsidR="005D2ED1" w:rsidRPr="00621BF1" w:rsidRDefault="005D2ED1" w:rsidP="00A718E5">
            <w:pPr>
              <w:spacing w:after="120"/>
              <w:jc w:val="both"/>
              <w:rPr>
                <w:rFonts w:cs="Arial"/>
                <w:bCs/>
              </w:rPr>
            </w:pPr>
            <w:r w:rsidRPr="00621BF1">
              <w:rPr>
                <w:rFonts w:cs="Arial"/>
                <w:bCs/>
              </w:rPr>
              <w:t>4</w:t>
            </w:r>
          </w:p>
        </w:tc>
        <w:tc>
          <w:tcPr>
            <w:tcW w:w="5040" w:type="dxa"/>
            <w:tcBorders>
              <w:top w:val="single" w:sz="4" w:space="0" w:color="auto"/>
              <w:left w:val="single" w:sz="4" w:space="0" w:color="auto"/>
              <w:bottom w:val="single" w:sz="4" w:space="0" w:color="auto"/>
              <w:right w:val="single" w:sz="4" w:space="0" w:color="auto"/>
            </w:tcBorders>
            <w:vAlign w:val="center"/>
            <w:hideMark/>
          </w:tcPr>
          <w:p w:rsidR="005D2ED1" w:rsidRPr="00621BF1" w:rsidRDefault="005D2ED1" w:rsidP="00A718E5">
            <w:pPr>
              <w:spacing w:after="120"/>
              <w:jc w:val="both"/>
              <w:rPr>
                <w:rFonts w:cs="Arial"/>
                <w:bCs/>
              </w:rPr>
            </w:pPr>
            <w:r w:rsidRPr="00621BF1">
              <w:rPr>
                <w:rFonts w:cs="Arial"/>
                <w:bCs/>
              </w:rPr>
              <w:t xml:space="preserve">Un (1) an après la troisième dose </w:t>
            </w:r>
          </w:p>
        </w:tc>
        <w:tc>
          <w:tcPr>
            <w:tcW w:w="1080" w:type="dxa"/>
            <w:tcBorders>
              <w:top w:val="single" w:sz="4" w:space="0" w:color="auto"/>
              <w:left w:val="single" w:sz="4" w:space="0" w:color="auto"/>
              <w:bottom w:val="single" w:sz="4" w:space="0" w:color="auto"/>
              <w:right w:val="single" w:sz="4" w:space="0" w:color="auto"/>
            </w:tcBorders>
          </w:tcPr>
          <w:p w:rsidR="005D2ED1" w:rsidRPr="00536D43" w:rsidRDefault="005D2ED1" w:rsidP="00A718E5">
            <w:pPr>
              <w:rPr>
                <w:color w:val="00B050"/>
              </w:rPr>
            </w:pPr>
            <w:r w:rsidRPr="00536D43">
              <w:rPr>
                <w:rFonts w:cs="Arial"/>
                <w:bCs/>
                <w:color w:val="00B050"/>
              </w:rPr>
              <w:t>Td4</w:t>
            </w:r>
          </w:p>
        </w:tc>
      </w:tr>
      <w:tr w:rsidR="005D2ED1" w:rsidRPr="00621BF1" w:rsidTr="00A718E5">
        <w:trPr>
          <w:trHeight w:val="49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5D2ED1" w:rsidRPr="00621BF1" w:rsidRDefault="005D2ED1" w:rsidP="00A718E5">
            <w:pPr>
              <w:spacing w:after="120"/>
              <w:jc w:val="both"/>
              <w:rPr>
                <w:rFonts w:cs="Arial"/>
                <w:bCs/>
              </w:rPr>
            </w:pPr>
            <w:r w:rsidRPr="00621BF1">
              <w:rPr>
                <w:rFonts w:cs="Arial"/>
                <w:bCs/>
              </w:rPr>
              <w:t>5</w:t>
            </w:r>
          </w:p>
        </w:tc>
        <w:tc>
          <w:tcPr>
            <w:tcW w:w="5040" w:type="dxa"/>
            <w:tcBorders>
              <w:top w:val="single" w:sz="4" w:space="0" w:color="auto"/>
              <w:left w:val="single" w:sz="4" w:space="0" w:color="auto"/>
              <w:bottom w:val="single" w:sz="4" w:space="0" w:color="auto"/>
              <w:right w:val="single" w:sz="4" w:space="0" w:color="auto"/>
            </w:tcBorders>
            <w:vAlign w:val="center"/>
            <w:hideMark/>
          </w:tcPr>
          <w:p w:rsidR="005D2ED1" w:rsidRPr="00621BF1" w:rsidRDefault="005D2ED1" w:rsidP="00A718E5">
            <w:pPr>
              <w:spacing w:after="120"/>
              <w:jc w:val="both"/>
              <w:rPr>
                <w:rFonts w:cs="Arial"/>
                <w:bCs/>
              </w:rPr>
            </w:pPr>
            <w:r w:rsidRPr="00621BF1">
              <w:rPr>
                <w:rFonts w:cs="Arial"/>
                <w:bCs/>
              </w:rPr>
              <w:t xml:space="preserve">Un (1) an après la quatrième dose </w:t>
            </w:r>
          </w:p>
        </w:tc>
        <w:tc>
          <w:tcPr>
            <w:tcW w:w="1080" w:type="dxa"/>
            <w:tcBorders>
              <w:top w:val="single" w:sz="4" w:space="0" w:color="auto"/>
              <w:left w:val="single" w:sz="4" w:space="0" w:color="auto"/>
              <w:bottom w:val="single" w:sz="4" w:space="0" w:color="auto"/>
              <w:right w:val="single" w:sz="4" w:space="0" w:color="auto"/>
            </w:tcBorders>
          </w:tcPr>
          <w:p w:rsidR="005D2ED1" w:rsidRPr="00536D43" w:rsidRDefault="005D2ED1" w:rsidP="00A718E5">
            <w:pPr>
              <w:rPr>
                <w:color w:val="00B050"/>
              </w:rPr>
            </w:pPr>
            <w:r w:rsidRPr="00536D43">
              <w:rPr>
                <w:rFonts w:cs="Arial"/>
                <w:bCs/>
                <w:color w:val="00B050"/>
              </w:rPr>
              <w:t>Td5</w:t>
            </w:r>
          </w:p>
        </w:tc>
      </w:tr>
    </w:tbl>
    <w:p w:rsidR="005D2ED1" w:rsidRDefault="005D2ED1" w:rsidP="005D2ED1">
      <w:pPr>
        <w:pStyle w:val="Lgende"/>
        <w:spacing w:after="120"/>
        <w:jc w:val="center"/>
      </w:pPr>
    </w:p>
    <w:p w:rsidR="005D2ED1" w:rsidRPr="00536D43" w:rsidRDefault="005D2ED1" w:rsidP="005D2ED1">
      <w:pPr>
        <w:pStyle w:val="Lgende"/>
        <w:spacing w:after="120"/>
        <w:jc w:val="center"/>
        <w:rPr>
          <w:color w:val="00B050"/>
        </w:rPr>
      </w:pPr>
      <w:r w:rsidRPr="00536D43">
        <w:rPr>
          <w:color w:val="00B050"/>
        </w:rPr>
        <w:t xml:space="preserve">Tableau 3: </w:t>
      </w:r>
      <w:r w:rsidRPr="00536D43">
        <w:rPr>
          <w:b/>
          <w:color w:val="00B050"/>
        </w:rPr>
        <w:t>Calendrier vaccinal de routine des  filles de 9 à 13 ans pour le HPV</w:t>
      </w:r>
    </w:p>
    <w:tbl>
      <w:tblPr>
        <w:tblpPr w:leftFromText="141" w:rightFromText="141" w:vertAnchor="text" w:tblpX="1413" w:tblpY="1"/>
        <w:tblOverlap w:val="never"/>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80"/>
        <w:gridCol w:w="5040"/>
        <w:gridCol w:w="1080"/>
      </w:tblGrid>
      <w:tr w:rsidR="005D2ED1" w:rsidRPr="00536D43" w:rsidTr="00A718E5">
        <w:trPr>
          <w:trHeight w:val="122"/>
          <w:tblHeader/>
        </w:trPr>
        <w:tc>
          <w:tcPr>
            <w:tcW w:w="1080"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rsidR="005D2ED1" w:rsidRPr="00536D43" w:rsidRDefault="005D2ED1" w:rsidP="00A718E5">
            <w:pPr>
              <w:spacing w:after="120"/>
              <w:jc w:val="center"/>
              <w:rPr>
                <w:rFonts w:cs="Arial"/>
                <w:bCs/>
                <w:color w:val="00B050"/>
              </w:rPr>
            </w:pPr>
            <w:r w:rsidRPr="00536D43">
              <w:rPr>
                <w:rFonts w:cs="Arial"/>
                <w:bCs/>
                <w:color w:val="00B050"/>
              </w:rPr>
              <w:t>Contact</w:t>
            </w:r>
          </w:p>
        </w:tc>
        <w:tc>
          <w:tcPr>
            <w:tcW w:w="5040"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rsidR="005D2ED1" w:rsidRPr="00536D43" w:rsidRDefault="005D2ED1" w:rsidP="00A718E5">
            <w:pPr>
              <w:spacing w:after="120"/>
              <w:jc w:val="center"/>
              <w:rPr>
                <w:rFonts w:cs="Arial"/>
                <w:bCs/>
                <w:color w:val="00B050"/>
              </w:rPr>
            </w:pPr>
            <w:r w:rsidRPr="00536D43">
              <w:rPr>
                <w:rFonts w:cs="Arial"/>
                <w:bCs/>
                <w:color w:val="00B050"/>
              </w:rPr>
              <w:t>Période</w:t>
            </w:r>
          </w:p>
        </w:tc>
        <w:tc>
          <w:tcPr>
            <w:tcW w:w="1080"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rsidR="005D2ED1" w:rsidRPr="00536D43" w:rsidRDefault="005D2ED1" w:rsidP="00A718E5">
            <w:pPr>
              <w:spacing w:after="120"/>
              <w:jc w:val="center"/>
              <w:rPr>
                <w:rFonts w:cs="Arial"/>
                <w:bCs/>
                <w:color w:val="00B050"/>
              </w:rPr>
            </w:pPr>
            <w:r w:rsidRPr="00536D43">
              <w:rPr>
                <w:rFonts w:cs="Arial"/>
                <w:bCs/>
                <w:color w:val="00B050"/>
              </w:rPr>
              <w:t>Antigènes</w:t>
            </w:r>
          </w:p>
        </w:tc>
      </w:tr>
      <w:tr w:rsidR="005D2ED1" w:rsidRPr="00536D43" w:rsidTr="00A718E5">
        <w:trPr>
          <w:trHeight w:val="247"/>
        </w:trPr>
        <w:tc>
          <w:tcPr>
            <w:tcW w:w="1080" w:type="dxa"/>
            <w:tcBorders>
              <w:top w:val="single" w:sz="4" w:space="0" w:color="auto"/>
              <w:left w:val="single" w:sz="4" w:space="0" w:color="auto"/>
              <w:bottom w:val="single" w:sz="4" w:space="0" w:color="auto"/>
              <w:right w:val="single" w:sz="4" w:space="0" w:color="auto"/>
            </w:tcBorders>
            <w:vAlign w:val="center"/>
            <w:hideMark/>
          </w:tcPr>
          <w:p w:rsidR="005D2ED1" w:rsidRPr="00536D43" w:rsidRDefault="005D2ED1" w:rsidP="00A718E5">
            <w:pPr>
              <w:spacing w:after="120"/>
              <w:jc w:val="both"/>
              <w:rPr>
                <w:rFonts w:cs="Arial"/>
                <w:bCs/>
                <w:color w:val="00B050"/>
              </w:rPr>
            </w:pPr>
            <w:r w:rsidRPr="00536D43">
              <w:rPr>
                <w:rFonts w:cs="Arial"/>
                <w:bCs/>
                <w:color w:val="00B050"/>
              </w:rPr>
              <w:t>1</w:t>
            </w:r>
          </w:p>
        </w:tc>
        <w:tc>
          <w:tcPr>
            <w:tcW w:w="5040" w:type="dxa"/>
            <w:tcBorders>
              <w:top w:val="single" w:sz="4" w:space="0" w:color="auto"/>
              <w:left w:val="single" w:sz="4" w:space="0" w:color="auto"/>
              <w:bottom w:val="single" w:sz="4" w:space="0" w:color="auto"/>
              <w:right w:val="single" w:sz="4" w:space="0" w:color="auto"/>
            </w:tcBorders>
            <w:vAlign w:val="center"/>
            <w:hideMark/>
          </w:tcPr>
          <w:p w:rsidR="005D2ED1" w:rsidRPr="00536D43" w:rsidRDefault="005D2ED1" w:rsidP="00A718E5">
            <w:pPr>
              <w:spacing w:after="120"/>
              <w:rPr>
                <w:rFonts w:cs="Arial"/>
                <w:bCs/>
                <w:color w:val="00B050"/>
              </w:rPr>
            </w:pPr>
            <w:r w:rsidRPr="00536D43">
              <w:rPr>
                <w:rFonts w:cs="Arial"/>
                <w:bCs/>
                <w:color w:val="00B050"/>
              </w:rPr>
              <w:t xml:space="preserve">Dès le premier contact  </w:t>
            </w:r>
            <w:r w:rsidRPr="00536D43">
              <w:rPr>
                <w:rFonts w:cs="Adobe Garamond Pro"/>
                <w:color w:val="00B050"/>
                <w:sz w:val="23"/>
                <w:szCs w:val="23"/>
              </w:rPr>
              <w:t>0,5 ml par injection intramusculaire</w:t>
            </w:r>
          </w:p>
        </w:tc>
        <w:tc>
          <w:tcPr>
            <w:tcW w:w="1080" w:type="dxa"/>
            <w:tcBorders>
              <w:top w:val="single" w:sz="4" w:space="0" w:color="auto"/>
              <w:left w:val="single" w:sz="4" w:space="0" w:color="auto"/>
              <w:bottom w:val="single" w:sz="4" w:space="0" w:color="auto"/>
              <w:right w:val="single" w:sz="4" w:space="0" w:color="auto"/>
            </w:tcBorders>
            <w:vAlign w:val="center"/>
          </w:tcPr>
          <w:p w:rsidR="005D2ED1" w:rsidRPr="00536D43" w:rsidRDefault="005D2ED1" w:rsidP="00A718E5">
            <w:pPr>
              <w:spacing w:after="120"/>
              <w:jc w:val="both"/>
              <w:rPr>
                <w:rFonts w:cs="Arial"/>
                <w:bCs/>
                <w:color w:val="00B050"/>
                <w:highlight w:val="green"/>
              </w:rPr>
            </w:pPr>
            <w:r w:rsidRPr="00536D43">
              <w:rPr>
                <w:rFonts w:cs="Arial"/>
                <w:bCs/>
                <w:color w:val="00B050"/>
              </w:rPr>
              <w:t>HPV</w:t>
            </w:r>
          </w:p>
        </w:tc>
      </w:tr>
      <w:tr w:rsidR="005D2ED1" w:rsidRPr="00536D43" w:rsidTr="00A718E5">
        <w:trPr>
          <w:trHeight w:val="393"/>
        </w:trPr>
        <w:tc>
          <w:tcPr>
            <w:tcW w:w="1080" w:type="dxa"/>
            <w:tcBorders>
              <w:top w:val="single" w:sz="4" w:space="0" w:color="auto"/>
              <w:left w:val="single" w:sz="4" w:space="0" w:color="auto"/>
              <w:bottom w:val="single" w:sz="4" w:space="0" w:color="auto"/>
              <w:right w:val="single" w:sz="4" w:space="0" w:color="auto"/>
            </w:tcBorders>
            <w:vAlign w:val="center"/>
          </w:tcPr>
          <w:p w:rsidR="005D2ED1" w:rsidRPr="00536D43" w:rsidRDefault="005D2ED1" w:rsidP="00A718E5">
            <w:pPr>
              <w:spacing w:after="120"/>
              <w:jc w:val="both"/>
              <w:rPr>
                <w:rFonts w:cs="Arial"/>
                <w:bCs/>
                <w:color w:val="00B050"/>
              </w:rPr>
            </w:pPr>
            <w:r w:rsidRPr="00536D43">
              <w:rPr>
                <w:rFonts w:cs="Arial"/>
                <w:bCs/>
                <w:color w:val="00B050"/>
              </w:rPr>
              <w:t>2</w:t>
            </w:r>
          </w:p>
          <w:p w:rsidR="005D2ED1" w:rsidRPr="00536D43" w:rsidRDefault="005D2ED1" w:rsidP="00A718E5">
            <w:pPr>
              <w:spacing w:after="120"/>
              <w:jc w:val="both"/>
              <w:rPr>
                <w:rFonts w:cs="Arial"/>
                <w:bCs/>
                <w:color w:val="00B050"/>
              </w:rPr>
            </w:pPr>
          </w:p>
        </w:tc>
        <w:tc>
          <w:tcPr>
            <w:tcW w:w="5040" w:type="dxa"/>
            <w:tcBorders>
              <w:top w:val="single" w:sz="4" w:space="0" w:color="auto"/>
              <w:left w:val="single" w:sz="4" w:space="0" w:color="auto"/>
              <w:bottom w:val="single" w:sz="4" w:space="0" w:color="auto"/>
              <w:right w:val="single" w:sz="4" w:space="0" w:color="auto"/>
            </w:tcBorders>
            <w:vAlign w:val="center"/>
            <w:hideMark/>
          </w:tcPr>
          <w:p w:rsidR="005D2ED1" w:rsidRPr="00536D43" w:rsidRDefault="005D2ED1" w:rsidP="00A718E5">
            <w:pPr>
              <w:spacing w:after="120"/>
              <w:jc w:val="both"/>
              <w:rPr>
                <w:rFonts w:cs="Arial"/>
                <w:bCs/>
                <w:color w:val="00B050"/>
              </w:rPr>
            </w:pPr>
            <w:r w:rsidRPr="00536D43">
              <w:rPr>
                <w:rFonts w:cs="Arial"/>
                <w:bCs/>
                <w:color w:val="00B050"/>
              </w:rPr>
              <w:t>6 mois  après la première dose</w:t>
            </w:r>
          </w:p>
          <w:p w:rsidR="005D2ED1" w:rsidRPr="00536D43" w:rsidRDefault="005D2ED1" w:rsidP="00A718E5">
            <w:pPr>
              <w:spacing w:after="120"/>
              <w:jc w:val="both"/>
              <w:rPr>
                <w:rFonts w:cs="Adobe Garamond Pro"/>
                <w:color w:val="00B050"/>
                <w:sz w:val="23"/>
                <w:szCs w:val="23"/>
              </w:rPr>
            </w:pPr>
            <w:r w:rsidRPr="00536D43">
              <w:rPr>
                <w:rFonts w:cs="Adobe Garamond Pro"/>
                <w:color w:val="00B050"/>
                <w:sz w:val="23"/>
                <w:szCs w:val="23"/>
              </w:rPr>
              <w:t xml:space="preserve"> 0,5 ml par injection intramusculaire.</w:t>
            </w:r>
          </w:p>
          <w:p w:rsidR="005D2ED1" w:rsidRPr="00536D43" w:rsidRDefault="005D2ED1" w:rsidP="00A718E5">
            <w:pPr>
              <w:spacing w:after="120"/>
              <w:jc w:val="both"/>
              <w:rPr>
                <w:rFonts w:cs="Arial"/>
                <w:bCs/>
                <w:color w:val="00B050"/>
              </w:rPr>
            </w:pPr>
          </w:p>
        </w:tc>
        <w:tc>
          <w:tcPr>
            <w:tcW w:w="1080" w:type="dxa"/>
            <w:tcBorders>
              <w:top w:val="single" w:sz="4" w:space="0" w:color="auto"/>
              <w:left w:val="single" w:sz="4" w:space="0" w:color="auto"/>
              <w:bottom w:val="single" w:sz="4" w:space="0" w:color="auto"/>
              <w:right w:val="single" w:sz="4" w:space="0" w:color="auto"/>
            </w:tcBorders>
            <w:vAlign w:val="center"/>
          </w:tcPr>
          <w:p w:rsidR="005D2ED1" w:rsidRPr="00536D43" w:rsidRDefault="005D2ED1" w:rsidP="00A718E5">
            <w:pPr>
              <w:spacing w:after="120"/>
              <w:jc w:val="both"/>
              <w:rPr>
                <w:rFonts w:cs="Arial"/>
                <w:bCs/>
                <w:color w:val="00B050"/>
                <w:highlight w:val="green"/>
              </w:rPr>
            </w:pPr>
            <w:r w:rsidRPr="00536D43">
              <w:rPr>
                <w:rFonts w:cs="Arial"/>
                <w:bCs/>
                <w:color w:val="00B050"/>
              </w:rPr>
              <w:t>HPV</w:t>
            </w:r>
          </w:p>
        </w:tc>
      </w:tr>
    </w:tbl>
    <w:p w:rsidR="00BF5273" w:rsidRPr="00621BF1" w:rsidRDefault="005D2ED1" w:rsidP="00BF5273">
      <w:pPr>
        <w:pStyle w:val="Titre4"/>
      </w:pPr>
      <w:r>
        <w:br w:type="textWrapping" w:clear="all"/>
      </w:r>
      <w:bookmarkEnd w:id="23"/>
      <w:bookmarkEnd w:id="24"/>
      <w:bookmarkEnd w:id="25"/>
      <w:bookmarkEnd w:id="26"/>
      <w:r w:rsidR="00BF5273" w:rsidRPr="00621BF1">
        <w:t>Couvertures vaccinales</w:t>
      </w:r>
    </w:p>
    <w:p w:rsidR="00BF5273" w:rsidRPr="00621BF1" w:rsidRDefault="00BF5273" w:rsidP="00BF5273">
      <w:pPr>
        <w:pStyle w:val="Lgende"/>
        <w:rPr>
          <w:b/>
          <w:sz w:val="22"/>
          <w:szCs w:val="22"/>
        </w:rPr>
      </w:pPr>
      <w:r w:rsidRPr="00621BF1">
        <w:t>Tableau</w:t>
      </w:r>
      <w:r>
        <w:t xml:space="preserve"> 4</w:t>
      </w:r>
      <w:r w:rsidRPr="00621BF1">
        <w:t>: Evolution des couvertures vaccinales administratives en Guinée de 2011 à 201</w:t>
      </w:r>
      <w:r>
        <w:t>7</w:t>
      </w:r>
    </w:p>
    <w:tbl>
      <w:tblPr>
        <w:tblW w:w="4957" w:type="pct"/>
        <w:tblInd w:w="80" w:type="dxa"/>
        <w:tblCellMar>
          <w:left w:w="70" w:type="dxa"/>
          <w:right w:w="70" w:type="dxa"/>
        </w:tblCellMar>
        <w:tblLook w:val="04A0" w:firstRow="1" w:lastRow="0" w:firstColumn="1" w:lastColumn="0" w:noHBand="0" w:noVBand="1"/>
      </w:tblPr>
      <w:tblGrid>
        <w:gridCol w:w="1925"/>
        <w:gridCol w:w="1153"/>
        <w:gridCol w:w="1153"/>
        <w:gridCol w:w="1439"/>
        <w:gridCol w:w="1007"/>
        <w:gridCol w:w="1153"/>
        <w:gridCol w:w="1151"/>
        <w:gridCol w:w="1151"/>
      </w:tblGrid>
      <w:tr w:rsidR="00BF5273" w:rsidRPr="00621BF1" w:rsidTr="00A718E5">
        <w:trPr>
          <w:cantSplit/>
          <w:trHeight w:val="406"/>
        </w:trPr>
        <w:tc>
          <w:tcPr>
            <w:tcW w:w="950" w:type="pct"/>
            <w:tcBorders>
              <w:top w:val="single" w:sz="8" w:space="0" w:color="auto"/>
              <w:left w:val="single" w:sz="8" w:space="0" w:color="auto"/>
              <w:bottom w:val="single" w:sz="8" w:space="0" w:color="auto"/>
              <w:right w:val="single" w:sz="4" w:space="0" w:color="auto"/>
            </w:tcBorders>
            <w:shd w:val="clear" w:color="auto" w:fill="C45911" w:themeFill="accent2" w:themeFillShade="BF"/>
            <w:vAlign w:val="bottom"/>
            <w:hideMark/>
          </w:tcPr>
          <w:p w:rsidR="00BF5273" w:rsidRPr="00621BF1" w:rsidRDefault="00BF5273" w:rsidP="00A718E5">
            <w:pPr>
              <w:spacing w:after="120"/>
              <w:jc w:val="center"/>
              <w:rPr>
                <w:rFonts w:cs="Arial"/>
                <w:b/>
                <w:bCs/>
                <w:color w:val="FFFFFF" w:themeColor="background1"/>
                <w:sz w:val="20"/>
              </w:rPr>
            </w:pPr>
            <w:r w:rsidRPr="00621BF1">
              <w:rPr>
                <w:rFonts w:cs="Arial"/>
                <w:b/>
                <w:bCs/>
                <w:color w:val="FFFFFF" w:themeColor="background1"/>
                <w:sz w:val="20"/>
                <w:lang w:val="fr-CH"/>
              </w:rPr>
              <w:t>Antigènes</w:t>
            </w:r>
          </w:p>
        </w:tc>
        <w:tc>
          <w:tcPr>
            <w:tcW w:w="569" w:type="pct"/>
            <w:tcBorders>
              <w:top w:val="single" w:sz="8" w:space="0" w:color="auto"/>
              <w:left w:val="nil"/>
              <w:bottom w:val="single" w:sz="8" w:space="0" w:color="auto"/>
              <w:right w:val="single" w:sz="4" w:space="0" w:color="auto"/>
            </w:tcBorders>
            <w:shd w:val="clear" w:color="auto" w:fill="C45911" w:themeFill="accent2" w:themeFillShade="BF"/>
            <w:hideMark/>
          </w:tcPr>
          <w:p w:rsidR="00BF5273" w:rsidRPr="00621BF1" w:rsidRDefault="00BF5273" w:rsidP="00A718E5">
            <w:pPr>
              <w:spacing w:after="120"/>
              <w:jc w:val="center"/>
              <w:rPr>
                <w:rFonts w:cs="Arial"/>
                <w:b/>
                <w:bCs/>
                <w:color w:val="FFFFFF" w:themeColor="background1"/>
                <w:sz w:val="20"/>
              </w:rPr>
            </w:pPr>
            <w:r w:rsidRPr="00621BF1">
              <w:rPr>
                <w:rFonts w:cs="Arial"/>
                <w:b/>
                <w:bCs/>
                <w:color w:val="FFFFFF" w:themeColor="background1"/>
                <w:sz w:val="20"/>
                <w:lang w:val="fr-CH"/>
              </w:rPr>
              <w:t>2011</w:t>
            </w:r>
          </w:p>
        </w:tc>
        <w:tc>
          <w:tcPr>
            <w:tcW w:w="569" w:type="pct"/>
            <w:tcBorders>
              <w:top w:val="single" w:sz="8" w:space="0" w:color="auto"/>
              <w:left w:val="nil"/>
              <w:bottom w:val="single" w:sz="8" w:space="0" w:color="auto"/>
              <w:right w:val="single" w:sz="8" w:space="0" w:color="auto"/>
            </w:tcBorders>
            <w:shd w:val="clear" w:color="auto" w:fill="C45911" w:themeFill="accent2" w:themeFillShade="BF"/>
            <w:hideMark/>
          </w:tcPr>
          <w:p w:rsidR="00BF5273" w:rsidRPr="00621BF1" w:rsidRDefault="00BF5273" w:rsidP="00A718E5">
            <w:pPr>
              <w:spacing w:after="120"/>
              <w:jc w:val="center"/>
              <w:rPr>
                <w:rFonts w:cs="Arial"/>
                <w:b/>
                <w:bCs/>
                <w:color w:val="FFFFFF" w:themeColor="background1"/>
                <w:sz w:val="20"/>
              </w:rPr>
            </w:pPr>
            <w:r w:rsidRPr="00621BF1">
              <w:rPr>
                <w:rFonts w:cs="Arial"/>
                <w:b/>
                <w:bCs/>
                <w:color w:val="FFFFFF" w:themeColor="background1"/>
                <w:sz w:val="20"/>
                <w:lang w:val="fr-CH"/>
              </w:rPr>
              <w:t>2012</w:t>
            </w:r>
          </w:p>
        </w:tc>
        <w:tc>
          <w:tcPr>
            <w:tcW w:w="710" w:type="pct"/>
            <w:tcBorders>
              <w:top w:val="single" w:sz="8" w:space="0" w:color="auto"/>
              <w:left w:val="nil"/>
              <w:bottom w:val="single" w:sz="8" w:space="0" w:color="auto"/>
              <w:right w:val="single" w:sz="8" w:space="0" w:color="auto"/>
            </w:tcBorders>
            <w:shd w:val="clear" w:color="auto" w:fill="C45911" w:themeFill="accent2" w:themeFillShade="BF"/>
          </w:tcPr>
          <w:p w:rsidR="00BF5273" w:rsidRPr="00621BF1" w:rsidRDefault="00BF5273" w:rsidP="00A718E5">
            <w:pPr>
              <w:spacing w:after="120"/>
              <w:jc w:val="center"/>
              <w:rPr>
                <w:rFonts w:cs="Arial"/>
                <w:b/>
                <w:bCs/>
                <w:color w:val="FFFFFF" w:themeColor="background1"/>
                <w:sz w:val="20"/>
                <w:lang w:val="fr-CH"/>
              </w:rPr>
            </w:pPr>
            <w:r w:rsidRPr="00621BF1">
              <w:rPr>
                <w:rFonts w:cs="Arial"/>
                <w:b/>
                <w:bCs/>
                <w:color w:val="FFFFFF" w:themeColor="background1"/>
                <w:sz w:val="20"/>
                <w:lang w:val="fr-CH"/>
              </w:rPr>
              <w:t>2013</w:t>
            </w:r>
          </w:p>
        </w:tc>
        <w:tc>
          <w:tcPr>
            <w:tcW w:w="497" w:type="pct"/>
            <w:tcBorders>
              <w:top w:val="single" w:sz="8" w:space="0" w:color="auto"/>
              <w:left w:val="nil"/>
              <w:bottom w:val="single" w:sz="8" w:space="0" w:color="auto"/>
              <w:right w:val="single" w:sz="8" w:space="0" w:color="auto"/>
            </w:tcBorders>
            <w:shd w:val="clear" w:color="auto" w:fill="C45911" w:themeFill="accent2" w:themeFillShade="BF"/>
          </w:tcPr>
          <w:p w:rsidR="00BF5273" w:rsidRPr="00621BF1" w:rsidRDefault="00BF5273" w:rsidP="00A718E5">
            <w:pPr>
              <w:spacing w:after="120"/>
              <w:jc w:val="center"/>
              <w:rPr>
                <w:rFonts w:cs="Arial"/>
                <w:b/>
                <w:bCs/>
                <w:color w:val="FFFFFF" w:themeColor="background1"/>
                <w:sz w:val="20"/>
                <w:lang w:val="fr-CH"/>
              </w:rPr>
            </w:pPr>
            <w:r w:rsidRPr="00621BF1">
              <w:rPr>
                <w:rFonts w:cs="Arial"/>
                <w:b/>
                <w:bCs/>
                <w:color w:val="FFFFFF" w:themeColor="background1"/>
                <w:sz w:val="20"/>
                <w:lang w:val="fr-CH"/>
              </w:rPr>
              <w:t>2014</w:t>
            </w:r>
          </w:p>
        </w:tc>
        <w:tc>
          <w:tcPr>
            <w:tcW w:w="569" w:type="pct"/>
            <w:tcBorders>
              <w:top w:val="single" w:sz="8" w:space="0" w:color="auto"/>
              <w:left w:val="nil"/>
              <w:bottom w:val="single" w:sz="8" w:space="0" w:color="auto"/>
              <w:right w:val="single" w:sz="8" w:space="0" w:color="auto"/>
            </w:tcBorders>
            <w:shd w:val="clear" w:color="auto" w:fill="C45911" w:themeFill="accent2" w:themeFillShade="BF"/>
          </w:tcPr>
          <w:p w:rsidR="00BF5273" w:rsidRPr="00621BF1" w:rsidRDefault="00BF5273" w:rsidP="00A718E5">
            <w:pPr>
              <w:spacing w:after="120"/>
              <w:jc w:val="center"/>
              <w:rPr>
                <w:rFonts w:cs="Arial"/>
                <w:b/>
                <w:bCs/>
                <w:color w:val="FFFFFF" w:themeColor="background1"/>
                <w:sz w:val="20"/>
                <w:lang w:val="fr-CH"/>
              </w:rPr>
            </w:pPr>
            <w:r w:rsidRPr="00621BF1">
              <w:rPr>
                <w:rFonts w:cs="Arial"/>
                <w:b/>
                <w:bCs/>
                <w:color w:val="FFFFFF" w:themeColor="background1"/>
                <w:sz w:val="20"/>
                <w:lang w:val="fr-CH"/>
              </w:rPr>
              <w:t>2015</w:t>
            </w:r>
          </w:p>
        </w:tc>
        <w:tc>
          <w:tcPr>
            <w:tcW w:w="568" w:type="pct"/>
            <w:tcBorders>
              <w:top w:val="single" w:sz="8" w:space="0" w:color="auto"/>
              <w:left w:val="nil"/>
              <w:bottom w:val="single" w:sz="8" w:space="0" w:color="auto"/>
              <w:right w:val="single" w:sz="8" w:space="0" w:color="auto"/>
            </w:tcBorders>
            <w:shd w:val="clear" w:color="auto" w:fill="92D050"/>
          </w:tcPr>
          <w:p w:rsidR="00BF5273" w:rsidRPr="00621BF1" w:rsidRDefault="00BF5273" w:rsidP="00A718E5">
            <w:pPr>
              <w:spacing w:after="120"/>
              <w:jc w:val="center"/>
              <w:rPr>
                <w:rFonts w:cs="Arial"/>
                <w:b/>
                <w:bCs/>
                <w:color w:val="FFFFFF" w:themeColor="background1"/>
                <w:sz w:val="20"/>
                <w:lang w:val="fr-CH"/>
              </w:rPr>
            </w:pPr>
            <w:r w:rsidRPr="000372BD">
              <w:rPr>
                <w:rFonts w:cs="Arial"/>
                <w:b/>
                <w:bCs/>
                <w:outline/>
                <w:color w:val="ED7D31" w:themeColor="accent2"/>
                <w:sz w:val="20"/>
                <w:lang w:val="fr-CH"/>
                <w14:textOutline w14:w="9525" w14:cap="flat" w14:cmpd="sng" w14:algn="ctr">
                  <w14:solidFill>
                    <w14:schemeClr w14:val="accent2"/>
                  </w14:solidFill>
                  <w14:prstDash w14:val="solid"/>
                  <w14:round/>
                </w14:textOutline>
                <w14:textFill>
                  <w14:noFill/>
                </w14:textFill>
              </w:rPr>
              <w:t>2016</w:t>
            </w:r>
          </w:p>
        </w:tc>
        <w:tc>
          <w:tcPr>
            <w:tcW w:w="568" w:type="pct"/>
            <w:tcBorders>
              <w:top w:val="single" w:sz="8" w:space="0" w:color="auto"/>
              <w:left w:val="nil"/>
              <w:bottom w:val="single" w:sz="8" w:space="0" w:color="auto"/>
              <w:right w:val="single" w:sz="8" w:space="0" w:color="auto"/>
            </w:tcBorders>
            <w:shd w:val="clear" w:color="auto" w:fill="92D050"/>
          </w:tcPr>
          <w:p w:rsidR="00BF5273" w:rsidRPr="00621BF1" w:rsidRDefault="00BF5273" w:rsidP="00A718E5">
            <w:pPr>
              <w:spacing w:after="120"/>
              <w:jc w:val="center"/>
              <w:rPr>
                <w:rFonts w:cs="Arial"/>
                <w:b/>
                <w:bCs/>
                <w:color w:val="FFFFFF" w:themeColor="background1"/>
                <w:sz w:val="20"/>
                <w:lang w:val="fr-CH"/>
              </w:rPr>
            </w:pPr>
            <w:r w:rsidRPr="00A73AF2">
              <w:rPr>
                <w:rFonts w:cs="Arial"/>
                <w:b/>
                <w:bCs/>
                <w:color w:val="FFFFFF" w:themeColor="background1"/>
                <w:sz w:val="20"/>
                <w:lang w:val="fr-CH"/>
              </w:rPr>
              <w:t>2017</w:t>
            </w:r>
          </w:p>
        </w:tc>
      </w:tr>
      <w:tr w:rsidR="00BF5273" w:rsidRPr="00621BF1" w:rsidTr="00A718E5">
        <w:trPr>
          <w:cantSplit/>
          <w:trHeight w:val="386"/>
        </w:trPr>
        <w:tc>
          <w:tcPr>
            <w:tcW w:w="950" w:type="pct"/>
            <w:tcBorders>
              <w:top w:val="nil"/>
              <w:left w:val="single" w:sz="8" w:space="0" w:color="auto"/>
              <w:bottom w:val="nil"/>
              <w:right w:val="single" w:sz="4" w:space="0" w:color="auto"/>
            </w:tcBorders>
            <w:shd w:val="clear" w:color="auto" w:fill="auto"/>
            <w:hideMark/>
          </w:tcPr>
          <w:p w:rsidR="00BF5273" w:rsidRPr="00621BF1" w:rsidRDefault="00BF5273" w:rsidP="00A718E5">
            <w:pPr>
              <w:spacing w:after="120"/>
              <w:jc w:val="both"/>
              <w:rPr>
                <w:rFonts w:cs="Arial"/>
                <w:sz w:val="20"/>
              </w:rPr>
            </w:pPr>
            <w:r w:rsidRPr="00621BF1">
              <w:rPr>
                <w:rFonts w:cs="Arial"/>
                <w:sz w:val="20"/>
                <w:lang w:val="fr-CH"/>
              </w:rPr>
              <w:t>BCG</w:t>
            </w:r>
          </w:p>
        </w:tc>
        <w:tc>
          <w:tcPr>
            <w:tcW w:w="569" w:type="pct"/>
            <w:tcBorders>
              <w:top w:val="nil"/>
              <w:left w:val="nil"/>
              <w:bottom w:val="nil"/>
              <w:right w:val="single" w:sz="4"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rPr>
              <w:t>100%</w:t>
            </w:r>
          </w:p>
        </w:tc>
        <w:tc>
          <w:tcPr>
            <w:tcW w:w="569" w:type="pct"/>
            <w:tcBorders>
              <w:top w:val="nil"/>
              <w:left w:val="nil"/>
              <w:bottom w:val="nil"/>
              <w:right w:val="single" w:sz="8"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rPr>
              <w:t>84%</w:t>
            </w:r>
          </w:p>
        </w:tc>
        <w:tc>
          <w:tcPr>
            <w:tcW w:w="710" w:type="pct"/>
            <w:tcBorders>
              <w:top w:val="nil"/>
              <w:left w:val="nil"/>
              <w:bottom w:val="nil"/>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99%</w:t>
            </w:r>
          </w:p>
        </w:tc>
        <w:tc>
          <w:tcPr>
            <w:tcW w:w="497" w:type="pct"/>
            <w:tcBorders>
              <w:top w:val="nil"/>
              <w:left w:val="nil"/>
              <w:bottom w:val="nil"/>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88%</w:t>
            </w:r>
          </w:p>
        </w:tc>
        <w:tc>
          <w:tcPr>
            <w:tcW w:w="569" w:type="pct"/>
            <w:tcBorders>
              <w:top w:val="nil"/>
              <w:left w:val="nil"/>
              <w:bottom w:val="nil"/>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85%</w:t>
            </w:r>
          </w:p>
        </w:tc>
        <w:tc>
          <w:tcPr>
            <w:tcW w:w="568" w:type="pct"/>
            <w:tcBorders>
              <w:top w:val="nil"/>
              <w:left w:val="nil"/>
              <w:bottom w:val="nil"/>
              <w:right w:val="single" w:sz="8" w:space="0" w:color="auto"/>
            </w:tcBorders>
            <w:shd w:val="clear" w:color="auto" w:fill="92D050"/>
          </w:tcPr>
          <w:p w:rsidR="00BF5273" w:rsidRPr="00621BF1" w:rsidRDefault="00BF5273" w:rsidP="00A718E5">
            <w:pPr>
              <w:spacing w:after="120"/>
              <w:jc w:val="center"/>
              <w:rPr>
                <w:rFonts w:cs="Arial"/>
                <w:sz w:val="20"/>
                <w:lang w:val="fr-CH"/>
              </w:rPr>
            </w:pPr>
            <w:r w:rsidRPr="00B22682">
              <w:rPr>
                <w:rFonts w:ascii="Calibri" w:eastAsia="MS ??" w:hAnsi="Calibri" w:cs="Andalus"/>
              </w:rPr>
              <w:t>98</w:t>
            </w:r>
          </w:p>
        </w:tc>
        <w:tc>
          <w:tcPr>
            <w:tcW w:w="568" w:type="pct"/>
            <w:tcBorders>
              <w:top w:val="nil"/>
              <w:left w:val="nil"/>
              <w:bottom w:val="nil"/>
              <w:right w:val="single" w:sz="8" w:space="0" w:color="auto"/>
            </w:tcBorders>
            <w:shd w:val="clear" w:color="auto" w:fill="92D050"/>
          </w:tcPr>
          <w:p w:rsidR="00BF5273" w:rsidRPr="00621BF1" w:rsidRDefault="00BF5273" w:rsidP="00A718E5">
            <w:pPr>
              <w:spacing w:after="120"/>
              <w:jc w:val="center"/>
              <w:rPr>
                <w:rFonts w:cs="Arial"/>
                <w:sz w:val="20"/>
                <w:lang w:val="fr-CH"/>
              </w:rPr>
            </w:pPr>
            <w:r w:rsidRPr="00B22682">
              <w:rPr>
                <w:rFonts w:ascii="Calibri" w:eastAsia="MS ??" w:hAnsi="Calibri" w:cs="Andalus"/>
              </w:rPr>
              <w:t>95</w:t>
            </w:r>
          </w:p>
        </w:tc>
      </w:tr>
      <w:tr w:rsidR="00BF5273" w:rsidRPr="00621BF1" w:rsidTr="00A718E5">
        <w:trPr>
          <w:cantSplit/>
          <w:trHeight w:val="386"/>
        </w:trPr>
        <w:tc>
          <w:tcPr>
            <w:tcW w:w="950" w:type="pct"/>
            <w:tcBorders>
              <w:top w:val="single" w:sz="4" w:space="0" w:color="auto"/>
              <w:left w:val="single" w:sz="8" w:space="0" w:color="auto"/>
              <w:bottom w:val="single" w:sz="4" w:space="0" w:color="auto"/>
              <w:right w:val="single" w:sz="4" w:space="0" w:color="auto"/>
            </w:tcBorders>
            <w:shd w:val="clear" w:color="auto" w:fill="auto"/>
            <w:hideMark/>
          </w:tcPr>
          <w:p w:rsidR="00BF5273" w:rsidRPr="00621BF1" w:rsidRDefault="00BF5273" w:rsidP="00A718E5">
            <w:pPr>
              <w:spacing w:after="120"/>
              <w:jc w:val="both"/>
              <w:rPr>
                <w:rFonts w:cs="Arial"/>
                <w:sz w:val="20"/>
              </w:rPr>
            </w:pPr>
            <w:r w:rsidRPr="00621BF1">
              <w:rPr>
                <w:rFonts w:cs="Arial"/>
                <w:sz w:val="20"/>
                <w:lang w:val="fr-CH"/>
              </w:rPr>
              <w:t>DTC3-Hepb3 –Hib3</w:t>
            </w:r>
          </w:p>
        </w:tc>
        <w:tc>
          <w:tcPr>
            <w:tcW w:w="569" w:type="pct"/>
            <w:tcBorders>
              <w:top w:val="single" w:sz="4" w:space="0" w:color="auto"/>
              <w:left w:val="nil"/>
              <w:bottom w:val="single" w:sz="4" w:space="0" w:color="auto"/>
              <w:right w:val="single" w:sz="4"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rPr>
              <w:t>95%</w:t>
            </w:r>
          </w:p>
        </w:tc>
        <w:tc>
          <w:tcPr>
            <w:tcW w:w="569" w:type="pct"/>
            <w:tcBorders>
              <w:top w:val="single" w:sz="4" w:space="0" w:color="auto"/>
              <w:left w:val="nil"/>
              <w:bottom w:val="single" w:sz="4" w:space="0" w:color="auto"/>
              <w:right w:val="single" w:sz="8"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lang w:val="fr-CH"/>
              </w:rPr>
              <w:t>101%</w:t>
            </w:r>
          </w:p>
        </w:tc>
        <w:tc>
          <w:tcPr>
            <w:tcW w:w="710" w:type="pct"/>
            <w:tcBorders>
              <w:top w:val="single" w:sz="4" w:space="0" w:color="auto"/>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103%</w:t>
            </w:r>
          </w:p>
        </w:tc>
        <w:tc>
          <w:tcPr>
            <w:tcW w:w="497" w:type="pct"/>
            <w:tcBorders>
              <w:top w:val="single" w:sz="4" w:space="0" w:color="auto"/>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91%</w:t>
            </w:r>
          </w:p>
        </w:tc>
        <w:tc>
          <w:tcPr>
            <w:tcW w:w="569" w:type="pct"/>
            <w:tcBorders>
              <w:top w:val="single" w:sz="4" w:space="0" w:color="auto"/>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80%</w:t>
            </w:r>
          </w:p>
        </w:tc>
        <w:tc>
          <w:tcPr>
            <w:tcW w:w="568" w:type="pct"/>
            <w:tcBorders>
              <w:top w:val="single" w:sz="4" w:space="0" w:color="auto"/>
              <w:left w:val="nil"/>
              <w:bottom w:val="single" w:sz="4" w:space="0" w:color="auto"/>
              <w:right w:val="single" w:sz="8" w:space="0" w:color="auto"/>
            </w:tcBorders>
            <w:shd w:val="clear" w:color="auto" w:fill="92D050"/>
          </w:tcPr>
          <w:p w:rsidR="00BF5273" w:rsidRPr="00621BF1" w:rsidRDefault="00BF5273" w:rsidP="00A718E5">
            <w:pPr>
              <w:spacing w:after="120"/>
              <w:jc w:val="center"/>
              <w:rPr>
                <w:rFonts w:cs="Arial"/>
                <w:sz w:val="20"/>
                <w:lang w:val="fr-CH"/>
              </w:rPr>
            </w:pPr>
            <w:r w:rsidRPr="00B22682">
              <w:rPr>
                <w:rFonts w:ascii="Calibri" w:eastAsia="MS ??" w:hAnsi="Calibri" w:cs="Andalus"/>
              </w:rPr>
              <w:t>97</w:t>
            </w:r>
          </w:p>
        </w:tc>
        <w:tc>
          <w:tcPr>
            <w:tcW w:w="568" w:type="pct"/>
            <w:tcBorders>
              <w:top w:val="single" w:sz="4" w:space="0" w:color="auto"/>
              <w:left w:val="nil"/>
              <w:bottom w:val="single" w:sz="4" w:space="0" w:color="auto"/>
              <w:right w:val="single" w:sz="8" w:space="0" w:color="auto"/>
            </w:tcBorders>
            <w:shd w:val="clear" w:color="auto" w:fill="92D050"/>
          </w:tcPr>
          <w:p w:rsidR="00BF5273" w:rsidRPr="00621BF1" w:rsidRDefault="00BF5273" w:rsidP="00A718E5">
            <w:pPr>
              <w:spacing w:after="120"/>
              <w:jc w:val="center"/>
              <w:rPr>
                <w:rFonts w:cs="Arial"/>
                <w:sz w:val="20"/>
                <w:lang w:val="fr-CH"/>
              </w:rPr>
            </w:pPr>
            <w:r w:rsidRPr="00B22682">
              <w:rPr>
                <w:rFonts w:ascii="Calibri" w:eastAsia="MS ??" w:hAnsi="Calibri" w:cs="Andalus"/>
              </w:rPr>
              <w:t>94</w:t>
            </w:r>
          </w:p>
        </w:tc>
      </w:tr>
      <w:tr w:rsidR="00BF5273" w:rsidRPr="00621BF1" w:rsidTr="00A718E5">
        <w:trPr>
          <w:cantSplit/>
          <w:trHeight w:val="386"/>
        </w:trPr>
        <w:tc>
          <w:tcPr>
            <w:tcW w:w="950" w:type="pct"/>
            <w:tcBorders>
              <w:top w:val="nil"/>
              <w:left w:val="single" w:sz="8" w:space="0" w:color="auto"/>
              <w:bottom w:val="single" w:sz="4" w:space="0" w:color="auto"/>
              <w:right w:val="single" w:sz="4" w:space="0" w:color="auto"/>
            </w:tcBorders>
            <w:shd w:val="clear" w:color="auto" w:fill="auto"/>
            <w:hideMark/>
          </w:tcPr>
          <w:p w:rsidR="00BF5273" w:rsidRPr="00621BF1" w:rsidRDefault="00BF5273" w:rsidP="00A718E5">
            <w:pPr>
              <w:spacing w:after="120"/>
              <w:jc w:val="both"/>
              <w:rPr>
                <w:rFonts w:cs="Arial"/>
                <w:sz w:val="20"/>
                <w:lang w:val="fr-CH"/>
              </w:rPr>
            </w:pPr>
            <w:r w:rsidRPr="00621BF1">
              <w:rPr>
                <w:rFonts w:cs="Arial"/>
                <w:sz w:val="20"/>
                <w:lang w:val="fr-CH"/>
              </w:rPr>
              <w:t>POLIO3</w:t>
            </w:r>
          </w:p>
        </w:tc>
        <w:tc>
          <w:tcPr>
            <w:tcW w:w="569" w:type="pct"/>
            <w:tcBorders>
              <w:top w:val="nil"/>
              <w:left w:val="nil"/>
              <w:bottom w:val="single" w:sz="4" w:space="0" w:color="auto"/>
              <w:right w:val="single" w:sz="4" w:space="0" w:color="auto"/>
            </w:tcBorders>
            <w:shd w:val="clear" w:color="auto" w:fill="auto"/>
          </w:tcPr>
          <w:p w:rsidR="00BF5273" w:rsidRPr="00621BF1" w:rsidRDefault="00BF5273" w:rsidP="00A718E5">
            <w:pPr>
              <w:spacing w:after="120"/>
              <w:jc w:val="center"/>
              <w:rPr>
                <w:rFonts w:cs="Arial"/>
                <w:sz w:val="20"/>
                <w:lang w:val="fr-CH"/>
              </w:rPr>
            </w:pPr>
            <w:r w:rsidRPr="00621BF1">
              <w:rPr>
                <w:rFonts w:cs="Arial"/>
                <w:sz w:val="20"/>
                <w:lang w:val="fr-CH"/>
              </w:rPr>
              <w:t>96%</w:t>
            </w:r>
          </w:p>
        </w:tc>
        <w:tc>
          <w:tcPr>
            <w:tcW w:w="569" w:type="pct"/>
            <w:tcBorders>
              <w:top w:val="nil"/>
              <w:left w:val="nil"/>
              <w:bottom w:val="single" w:sz="4" w:space="0" w:color="auto"/>
              <w:right w:val="single" w:sz="8" w:space="0" w:color="auto"/>
            </w:tcBorders>
            <w:shd w:val="clear" w:color="auto" w:fill="auto"/>
          </w:tcPr>
          <w:p w:rsidR="00BF5273" w:rsidRPr="00621BF1" w:rsidRDefault="00BF5273" w:rsidP="00A718E5">
            <w:pPr>
              <w:spacing w:after="120"/>
              <w:jc w:val="center"/>
              <w:rPr>
                <w:rFonts w:cs="Arial"/>
                <w:sz w:val="20"/>
                <w:lang w:val="fr-CH"/>
              </w:rPr>
            </w:pPr>
            <w:r w:rsidRPr="00621BF1">
              <w:rPr>
                <w:rFonts w:cs="Arial"/>
                <w:sz w:val="20"/>
                <w:lang w:val="fr-CH"/>
              </w:rPr>
              <w:t>96%</w:t>
            </w:r>
          </w:p>
        </w:tc>
        <w:tc>
          <w:tcPr>
            <w:tcW w:w="710" w:type="pct"/>
            <w:tcBorders>
              <w:top w:val="nil"/>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102%</w:t>
            </w:r>
          </w:p>
        </w:tc>
        <w:tc>
          <w:tcPr>
            <w:tcW w:w="497" w:type="pct"/>
            <w:tcBorders>
              <w:top w:val="nil"/>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81%</w:t>
            </w:r>
          </w:p>
        </w:tc>
        <w:tc>
          <w:tcPr>
            <w:tcW w:w="569" w:type="pct"/>
            <w:tcBorders>
              <w:top w:val="nil"/>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88%</w:t>
            </w:r>
          </w:p>
        </w:tc>
        <w:tc>
          <w:tcPr>
            <w:tcW w:w="568" w:type="pct"/>
            <w:tcBorders>
              <w:top w:val="nil"/>
              <w:left w:val="nil"/>
              <w:bottom w:val="single" w:sz="4" w:space="0" w:color="auto"/>
              <w:right w:val="single" w:sz="8" w:space="0" w:color="auto"/>
            </w:tcBorders>
            <w:shd w:val="clear" w:color="auto" w:fill="92D050"/>
            <w:vAlign w:val="center"/>
          </w:tcPr>
          <w:p w:rsidR="00BF5273" w:rsidRPr="00621BF1" w:rsidRDefault="00BF5273" w:rsidP="00A718E5">
            <w:pPr>
              <w:spacing w:after="120"/>
              <w:jc w:val="center"/>
              <w:rPr>
                <w:rFonts w:cs="Arial"/>
                <w:sz w:val="20"/>
                <w:lang w:val="fr-CH"/>
              </w:rPr>
            </w:pPr>
            <w:r w:rsidRPr="00B22682">
              <w:rPr>
                <w:rFonts w:ascii="Calibri" w:eastAsia="MS ??" w:hAnsi="Calibri" w:cs="Andalus"/>
                <w:szCs w:val="24"/>
              </w:rPr>
              <w:t>110%</w:t>
            </w:r>
          </w:p>
        </w:tc>
        <w:tc>
          <w:tcPr>
            <w:tcW w:w="568" w:type="pct"/>
            <w:tcBorders>
              <w:top w:val="nil"/>
              <w:left w:val="nil"/>
              <w:bottom w:val="single" w:sz="4" w:space="0" w:color="auto"/>
              <w:right w:val="single" w:sz="8" w:space="0" w:color="auto"/>
            </w:tcBorders>
            <w:shd w:val="clear" w:color="auto" w:fill="92D050"/>
            <w:vAlign w:val="center"/>
          </w:tcPr>
          <w:p w:rsidR="00BF5273" w:rsidRPr="00621BF1" w:rsidRDefault="00BF5273" w:rsidP="00A718E5">
            <w:pPr>
              <w:spacing w:after="120"/>
              <w:jc w:val="center"/>
              <w:rPr>
                <w:rFonts w:cs="Arial"/>
                <w:sz w:val="20"/>
                <w:lang w:val="fr-CH"/>
              </w:rPr>
            </w:pPr>
            <w:r w:rsidRPr="00B22682">
              <w:rPr>
                <w:rFonts w:ascii="Calibri" w:eastAsia="MS ??" w:hAnsi="Calibri" w:cs="Andalus"/>
                <w:szCs w:val="24"/>
              </w:rPr>
              <w:t>90%</w:t>
            </w:r>
          </w:p>
        </w:tc>
      </w:tr>
      <w:tr w:rsidR="00BF5273" w:rsidRPr="00621BF1" w:rsidTr="00A718E5">
        <w:trPr>
          <w:cantSplit/>
          <w:trHeight w:val="386"/>
        </w:trPr>
        <w:tc>
          <w:tcPr>
            <w:tcW w:w="950" w:type="pct"/>
            <w:tcBorders>
              <w:top w:val="nil"/>
              <w:left w:val="single" w:sz="8" w:space="0" w:color="auto"/>
              <w:bottom w:val="single" w:sz="4" w:space="0" w:color="auto"/>
              <w:right w:val="single" w:sz="4" w:space="0" w:color="auto"/>
            </w:tcBorders>
            <w:shd w:val="clear" w:color="auto" w:fill="auto"/>
            <w:hideMark/>
          </w:tcPr>
          <w:p w:rsidR="00BF5273" w:rsidRPr="00621BF1" w:rsidRDefault="00BF5273" w:rsidP="00A718E5">
            <w:pPr>
              <w:spacing w:after="120"/>
              <w:jc w:val="both"/>
              <w:rPr>
                <w:rFonts w:cs="Arial"/>
                <w:sz w:val="20"/>
              </w:rPr>
            </w:pPr>
            <w:r w:rsidRPr="00592E8D">
              <w:rPr>
                <w:rFonts w:cs="Arial"/>
                <w:sz w:val="20"/>
                <w:highlight w:val="yellow"/>
                <w:lang w:val="fr-CH"/>
              </w:rPr>
              <w:t>VAR</w:t>
            </w:r>
            <w:r>
              <w:rPr>
                <w:rFonts w:cs="Arial"/>
                <w:sz w:val="20"/>
                <w:lang w:val="fr-CH"/>
              </w:rPr>
              <w:t>1</w:t>
            </w:r>
          </w:p>
        </w:tc>
        <w:tc>
          <w:tcPr>
            <w:tcW w:w="569" w:type="pct"/>
            <w:tcBorders>
              <w:top w:val="nil"/>
              <w:left w:val="nil"/>
              <w:bottom w:val="single" w:sz="4" w:space="0" w:color="auto"/>
              <w:right w:val="single" w:sz="4"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lang w:val="fr-CH"/>
              </w:rPr>
              <w:t>97%</w:t>
            </w:r>
          </w:p>
        </w:tc>
        <w:tc>
          <w:tcPr>
            <w:tcW w:w="569" w:type="pct"/>
            <w:tcBorders>
              <w:top w:val="nil"/>
              <w:left w:val="nil"/>
              <w:bottom w:val="single" w:sz="4" w:space="0" w:color="auto"/>
              <w:right w:val="single" w:sz="8"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lang w:val="fr-CH"/>
              </w:rPr>
              <w:t>100%</w:t>
            </w:r>
          </w:p>
        </w:tc>
        <w:tc>
          <w:tcPr>
            <w:tcW w:w="710" w:type="pct"/>
            <w:tcBorders>
              <w:top w:val="nil"/>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103%</w:t>
            </w:r>
          </w:p>
        </w:tc>
        <w:tc>
          <w:tcPr>
            <w:tcW w:w="497" w:type="pct"/>
            <w:tcBorders>
              <w:top w:val="nil"/>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94%</w:t>
            </w:r>
          </w:p>
        </w:tc>
        <w:tc>
          <w:tcPr>
            <w:tcW w:w="569" w:type="pct"/>
            <w:tcBorders>
              <w:top w:val="nil"/>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90%</w:t>
            </w:r>
          </w:p>
        </w:tc>
        <w:tc>
          <w:tcPr>
            <w:tcW w:w="568" w:type="pct"/>
            <w:tcBorders>
              <w:top w:val="nil"/>
              <w:left w:val="nil"/>
              <w:bottom w:val="single" w:sz="4" w:space="0" w:color="auto"/>
              <w:right w:val="single" w:sz="8" w:space="0" w:color="auto"/>
            </w:tcBorders>
            <w:shd w:val="clear" w:color="auto" w:fill="92D050"/>
          </w:tcPr>
          <w:p w:rsidR="00BF5273" w:rsidRPr="00621BF1" w:rsidRDefault="00BF5273" w:rsidP="00A718E5">
            <w:pPr>
              <w:spacing w:after="120"/>
              <w:jc w:val="center"/>
              <w:rPr>
                <w:rFonts w:cs="Arial"/>
                <w:sz w:val="20"/>
                <w:lang w:val="fr-CH"/>
              </w:rPr>
            </w:pPr>
            <w:r w:rsidRPr="00B22682">
              <w:rPr>
                <w:rFonts w:ascii="Calibri" w:eastAsia="MS ??" w:hAnsi="Calibri" w:cs="Andalus"/>
              </w:rPr>
              <w:t>99</w:t>
            </w:r>
          </w:p>
        </w:tc>
        <w:tc>
          <w:tcPr>
            <w:tcW w:w="568" w:type="pct"/>
            <w:tcBorders>
              <w:top w:val="nil"/>
              <w:left w:val="nil"/>
              <w:bottom w:val="single" w:sz="4" w:space="0" w:color="auto"/>
              <w:right w:val="single" w:sz="8" w:space="0" w:color="auto"/>
            </w:tcBorders>
            <w:shd w:val="clear" w:color="auto" w:fill="92D050"/>
          </w:tcPr>
          <w:p w:rsidR="00BF5273" w:rsidRPr="00621BF1" w:rsidRDefault="00BF5273" w:rsidP="00A718E5">
            <w:pPr>
              <w:spacing w:after="120"/>
              <w:jc w:val="center"/>
              <w:rPr>
                <w:rFonts w:cs="Arial"/>
                <w:sz w:val="20"/>
                <w:lang w:val="fr-CH"/>
              </w:rPr>
            </w:pPr>
            <w:r w:rsidRPr="00B22682">
              <w:rPr>
                <w:rFonts w:ascii="Calibri" w:eastAsia="MS ??" w:hAnsi="Calibri" w:cs="Andalus"/>
              </w:rPr>
              <w:t>95</w:t>
            </w:r>
          </w:p>
        </w:tc>
      </w:tr>
      <w:tr w:rsidR="00BF5273" w:rsidRPr="00621BF1" w:rsidTr="00A718E5">
        <w:trPr>
          <w:cantSplit/>
          <w:trHeight w:val="386"/>
        </w:trPr>
        <w:tc>
          <w:tcPr>
            <w:tcW w:w="950" w:type="pct"/>
            <w:tcBorders>
              <w:top w:val="single" w:sz="4" w:space="0" w:color="auto"/>
              <w:left w:val="single" w:sz="8" w:space="0" w:color="auto"/>
              <w:bottom w:val="single" w:sz="4" w:space="0" w:color="auto"/>
              <w:right w:val="single" w:sz="4" w:space="0" w:color="auto"/>
            </w:tcBorders>
            <w:shd w:val="clear" w:color="auto" w:fill="auto"/>
            <w:hideMark/>
          </w:tcPr>
          <w:p w:rsidR="00BF5273" w:rsidRPr="00621BF1" w:rsidRDefault="00BF5273" w:rsidP="00A718E5">
            <w:pPr>
              <w:spacing w:after="120"/>
              <w:jc w:val="both"/>
              <w:rPr>
                <w:rFonts w:cs="Arial"/>
                <w:sz w:val="20"/>
              </w:rPr>
            </w:pPr>
            <w:r w:rsidRPr="00621BF1">
              <w:rPr>
                <w:rFonts w:cs="Arial"/>
                <w:sz w:val="20"/>
                <w:lang w:val="fr-CH"/>
              </w:rPr>
              <w:t>VAA</w:t>
            </w:r>
          </w:p>
        </w:tc>
        <w:tc>
          <w:tcPr>
            <w:tcW w:w="569" w:type="pct"/>
            <w:tcBorders>
              <w:top w:val="single" w:sz="4" w:space="0" w:color="auto"/>
              <w:left w:val="nil"/>
              <w:bottom w:val="single" w:sz="4" w:space="0" w:color="auto"/>
              <w:right w:val="single" w:sz="4"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lang w:val="fr-CH"/>
              </w:rPr>
              <w:t>97%</w:t>
            </w:r>
          </w:p>
        </w:tc>
        <w:tc>
          <w:tcPr>
            <w:tcW w:w="569" w:type="pct"/>
            <w:tcBorders>
              <w:top w:val="single" w:sz="4" w:space="0" w:color="auto"/>
              <w:left w:val="nil"/>
              <w:bottom w:val="single" w:sz="4" w:space="0" w:color="auto"/>
              <w:right w:val="single" w:sz="8"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lang w:val="fr-CH"/>
              </w:rPr>
              <w:t>100%</w:t>
            </w:r>
          </w:p>
        </w:tc>
        <w:tc>
          <w:tcPr>
            <w:tcW w:w="710" w:type="pct"/>
            <w:tcBorders>
              <w:top w:val="single" w:sz="4" w:space="0" w:color="auto"/>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104%</w:t>
            </w:r>
          </w:p>
        </w:tc>
        <w:tc>
          <w:tcPr>
            <w:tcW w:w="497" w:type="pct"/>
            <w:tcBorders>
              <w:top w:val="single" w:sz="4" w:space="0" w:color="auto"/>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94%</w:t>
            </w:r>
          </w:p>
        </w:tc>
        <w:tc>
          <w:tcPr>
            <w:tcW w:w="569" w:type="pct"/>
            <w:tcBorders>
              <w:top w:val="single" w:sz="4" w:space="0" w:color="auto"/>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90%</w:t>
            </w:r>
          </w:p>
        </w:tc>
        <w:tc>
          <w:tcPr>
            <w:tcW w:w="568" w:type="pct"/>
            <w:tcBorders>
              <w:top w:val="single" w:sz="4" w:space="0" w:color="auto"/>
              <w:left w:val="nil"/>
              <w:bottom w:val="single" w:sz="4" w:space="0" w:color="auto"/>
              <w:right w:val="single" w:sz="8" w:space="0" w:color="auto"/>
            </w:tcBorders>
            <w:shd w:val="clear" w:color="auto" w:fill="92D050"/>
            <w:vAlign w:val="center"/>
          </w:tcPr>
          <w:p w:rsidR="00BF5273" w:rsidRPr="00621BF1" w:rsidRDefault="00BF5273" w:rsidP="00A718E5">
            <w:pPr>
              <w:spacing w:after="120"/>
              <w:jc w:val="center"/>
              <w:rPr>
                <w:rFonts w:cs="Arial"/>
                <w:sz w:val="20"/>
                <w:lang w:val="fr-CH"/>
              </w:rPr>
            </w:pPr>
            <w:r w:rsidRPr="00B22682">
              <w:rPr>
                <w:rFonts w:ascii="Calibri" w:eastAsia="MS ??" w:hAnsi="Calibri" w:cs="Andalus"/>
                <w:szCs w:val="24"/>
              </w:rPr>
              <w:t>116%</w:t>
            </w:r>
          </w:p>
        </w:tc>
        <w:tc>
          <w:tcPr>
            <w:tcW w:w="568" w:type="pct"/>
            <w:tcBorders>
              <w:top w:val="single" w:sz="4" w:space="0" w:color="auto"/>
              <w:left w:val="nil"/>
              <w:bottom w:val="single" w:sz="4" w:space="0" w:color="auto"/>
              <w:right w:val="single" w:sz="8" w:space="0" w:color="auto"/>
            </w:tcBorders>
            <w:shd w:val="clear" w:color="auto" w:fill="92D050"/>
            <w:vAlign w:val="center"/>
          </w:tcPr>
          <w:p w:rsidR="00BF5273" w:rsidRPr="00621BF1" w:rsidRDefault="00BF5273" w:rsidP="00A718E5">
            <w:pPr>
              <w:spacing w:after="120"/>
              <w:jc w:val="center"/>
              <w:rPr>
                <w:rFonts w:cs="Arial"/>
                <w:sz w:val="20"/>
                <w:lang w:val="fr-CH"/>
              </w:rPr>
            </w:pPr>
            <w:r w:rsidRPr="00B22682">
              <w:rPr>
                <w:rFonts w:ascii="Calibri" w:eastAsia="MS ??" w:hAnsi="Calibri" w:cs="Andalus"/>
                <w:szCs w:val="24"/>
              </w:rPr>
              <w:t>90%</w:t>
            </w:r>
          </w:p>
        </w:tc>
      </w:tr>
      <w:tr w:rsidR="00BF5273" w:rsidRPr="00621BF1" w:rsidTr="00A718E5">
        <w:trPr>
          <w:cantSplit/>
          <w:trHeight w:val="386"/>
        </w:trPr>
        <w:tc>
          <w:tcPr>
            <w:tcW w:w="950" w:type="pct"/>
            <w:tcBorders>
              <w:top w:val="single" w:sz="4" w:space="0" w:color="auto"/>
              <w:left w:val="single" w:sz="8" w:space="0" w:color="auto"/>
              <w:bottom w:val="single" w:sz="4" w:space="0" w:color="auto"/>
              <w:right w:val="single" w:sz="4" w:space="0" w:color="auto"/>
            </w:tcBorders>
            <w:shd w:val="clear" w:color="auto" w:fill="auto"/>
          </w:tcPr>
          <w:p w:rsidR="00BF5273" w:rsidRPr="00592E8D" w:rsidRDefault="00BF5273" w:rsidP="00A718E5">
            <w:pPr>
              <w:spacing w:after="120"/>
              <w:jc w:val="both"/>
              <w:rPr>
                <w:rFonts w:cs="Arial"/>
                <w:sz w:val="20"/>
                <w:highlight w:val="yellow"/>
              </w:rPr>
            </w:pPr>
            <w:r w:rsidRPr="00592E8D">
              <w:rPr>
                <w:rFonts w:cs="Arial"/>
                <w:sz w:val="20"/>
                <w:highlight w:val="yellow"/>
                <w:lang w:val="fr-CH"/>
              </w:rPr>
              <w:t>VAT2+</w:t>
            </w:r>
          </w:p>
        </w:tc>
        <w:tc>
          <w:tcPr>
            <w:tcW w:w="569" w:type="pct"/>
            <w:tcBorders>
              <w:top w:val="single" w:sz="4" w:space="0" w:color="auto"/>
              <w:left w:val="nil"/>
              <w:bottom w:val="single" w:sz="4" w:space="0" w:color="auto"/>
              <w:right w:val="single" w:sz="4"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lang w:val="fr-CH"/>
              </w:rPr>
              <w:t>67%</w:t>
            </w:r>
          </w:p>
        </w:tc>
        <w:tc>
          <w:tcPr>
            <w:tcW w:w="569" w:type="pct"/>
            <w:tcBorders>
              <w:top w:val="single" w:sz="4" w:space="0" w:color="auto"/>
              <w:left w:val="nil"/>
              <w:bottom w:val="single" w:sz="4" w:space="0" w:color="auto"/>
              <w:right w:val="single" w:sz="8" w:space="0" w:color="auto"/>
            </w:tcBorders>
            <w:shd w:val="clear" w:color="auto" w:fill="auto"/>
          </w:tcPr>
          <w:p w:rsidR="00BF5273" w:rsidRPr="00621BF1" w:rsidRDefault="00BF5273" w:rsidP="00A718E5">
            <w:pPr>
              <w:spacing w:after="120"/>
              <w:jc w:val="center"/>
              <w:rPr>
                <w:rFonts w:cs="Arial"/>
                <w:sz w:val="20"/>
              </w:rPr>
            </w:pPr>
            <w:r w:rsidRPr="00621BF1">
              <w:rPr>
                <w:rFonts w:cs="Arial"/>
                <w:sz w:val="20"/>
                <w:lang w:val="fr-CH"/>
              </w:rPr>
              <w:t>86%</w:t>
            </w:r>
          </w:p>
        </w:tc>
        <w:tc>
          <w:tcPr>
            <w:tcW w:w="710" w:type="pct"/>
            <w:tcBorders>
              <w:top w:val="single" w:sz="4" w:space="0" w:color="auto"/>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93%</w:t>
            </w:r>
          </w:p>
        </w:tc>
        <w:tc>
          <w:tcPr>
            <w:tcW w:w="497" w:type="pct"/>
            <w:tcBorders>
              <w:top w:val="single" w:sz="4" w:space="0" w:color="auto"/>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42%</w:t>
            </w:r>
          </w:p>
        </w:tc>
        <w:tc>
          <w:tcPr>
            <w:tcW w:w="569" w:type="pct"/>
            <w:tcBorders>
              <w:top w:val="single" w:sz="4" w:space="0" w:color="auto"/>
              <w:left w:val="nil"/>
              <w:bottom w:val="single" w:sz="4" w:space="0" w:color="auto"/>
              <w:right w:val="single" w:sz="8" w:space="0" w:color="auto"/>
            </w:tcBorders>
          </w:tcPr>
          <w:p w:rsidR="00BF5273" w:rsidRPr="00621BF1" w:rsidRDefault="00BF5273" w:rsidP="00A718E5">
            <w:pPr>
              <w:spacing w:after="120"/>
              <w:jc w:val="center"/>
              <w:rPr>
                <w:rFonts w:cs="Arial"/>
                <w:sz w:val="20"/>
                <w:lang w:val="fr-CH"/>
              </w:rPr>
            </w:pPr>
            <w:r w:rsidRPr="00621BF1">
              <w:rPr>
                <w:rFonts w:cs="Arial"/>
                <w:sz w:val="20"/>
                <w:lang w:val="fr-CH"/>
              </w:rPr>
              <w:t>74%</w:t>
            </w:r>
          </w:p>
        </w:tc>
        <w:tc>
          <w:tcPr>
            <w:tcW w:w="568" w:type="pct"/>
            <w:tcBorders>
              <w:top w:val="single" w:sz="4" w:space="0" w:color="auto"/>
              <w:left w:val="nil"/>
              <w:bottom w:val="single" w:sz="4" w:space="0" w:color="auto"/>
              <w:right w:val="single" w:sz="8" w:space="0" w:color="auto"/>
            </w:tcBorders>
            <w:shd w:val="clear" w:color="auto" w:fill="92D050"/>
          </w:tcPr>
          <w:p w:rsidR="00BF5273" w:rsidRPr="00621BF1" w:rsidRDefault="00BF5273" w:rsidP="00A718E5">
            <w:pPr>
              <w:spacing w:after="120"/>
              <w:jc w:val="center"/>
              <w:rPr>
                <w:rFonts w:cs="Arial"/>
                <w:sz w:val="20"/>
                <w:lang w:val="fr-CH"/>
              </w:rPr>
            </w:pPr>
            <w:r>
              <w:rPr>
                <w:rFonts w:cs="Arial"/>
                <w:sz w:val="20"/>
                <w:lang w:val="fr-CH"/>
              </w:rPr>
              <w:t>60%</w:t>
            </w:r>
          </w:p>
        </w:tc>
        <w:tc>
          <w:tcPr>
            <w:tcW w:w="568" w:type="pct"/>
            <w:tcBorders>
              <w:top w:val="single" w:sz="4" w:space="0" w:color="auto"/>
              <w:left w:val="nil"/>
              <w:bottom w:val="single" w:sz="4" w:space="0" w:color="auto"/>
              <w:right w:val="single" w:sz="8" w:space="0" w:color="auto"/>
            </w:tcBorders>
            <w:shd w:val="clear" w:color="auto" w:fill="92D050"/>
          </w:tcPr>
          <w:p w:rsidR="00BF5273" w:rsidRPr="00621BF1" w:rsidRDefault="00BF5273" w:rsidP="00A718E5">
            <w:pPr>
              <w:spacing w:after="120"/>
              <w:jc w:val="center"/>
              <w:rPr>
                <w:rFonts w:cs="Arial"/>
                <w:sz w:val="20"/>
                <w:lang w:val="fr-CH"/>
              </w:rPr>
            </w:pPr>
            <w:r>
              <w:rPr>
                <w:rFonts w:cs="Arial"/>
                <w:sz w:val="20"/>
                <w:lang w:val="fr-CH"/>
              </w:rPr>
              <w:t>60%</w:t>
            </w:r>
          </w:p>
        </w:tc>
      </w:tr>
    </w:tbl>
    <w:p w:rsidR="00BF5273" w:rsidRPr="00621BF1" w:rsidRDefault="00BF5273" w:rsidP="00BF5273">
      <w:pPr>
        <w:spacing w:after="120"/>
        <w:jc w:val="both"/>
        <w:rPr>
          <w:rFonts w:cs="Arial"/>
        </w:rPr>
      </w:pPr>
      <w:r w:rsidRPr="00621BF1">
        <w:rPr>
          <w:rFonts w:cs="Arial"/>
        </w:rPr>
        <w:t xml:space="preserve">Source JRF </w:t>
      </w:r>
    </w:p>
    <w:p w:rsidR="00BF5273" w:rsidRPr="00621BF1" w:rsidRDefault="00BF5273" w:rsidP="00BF5273">
      <w:pPr>
        <w:pStyle w:val="Corpsdetexte22"/>
        <w:widowControl/>
        <w:spacing w:after="120"/>
        <w:rPr>
          <w:rFonts w:ascii="Gill Sans MT" w:hAnsi="Gill Sans MT"/>
          <w:bCs/>
          <w:sz w:val="22"/>
          <w:szCs w:val="22"/>
          <w:lang w:val="fr-BE"/>
        </w:rPr>
      </w:pPr>
      <w:r w:rsidRPr="00621BF1">
        <w:rPr>
          <w:rFonts w:ascii="Gill Sans MT" w:hAnsi="Gill Sans MT"/>
          <w:bCs/>
          <w:sz w:val="22"/>
          <w:szCs w:val="22"/>
          <w:lang w:val="fr-BE"/>
        </w:rPr>
        <w:lastRenderedPageBreak/>
        <w:t>Les couvertures vaccinales selon les estimations OMS/UNICEF sont présentées dans le tableau ci-après.</w:t>
      </w:r>
    </w:p>
    <w:p w:rsidR="00BF5273" w:rsidRDefault="00BF5273" w:rsidP="00BF5273">
      <w:pPr>
        <w:pStyle w:val="Lgende"/>
      </w:pPr>
      <w:r w:rsidRPr="00621BF1">
        <w:t>Tableau</w:t>
      </w:r>
      <w:r>
        <w:t>5</w:t>
      </w:r>
      <w:r w:rsidRPr="00621BF1">
        <w:t>: Evolution comparative des données administratives/officielles/estimations OMS/UNICEF</w:t>
      </w:r>
    </w:p>
    <w:tbl>
      <w:tblPr>
        <w:tblW w:w="5000" w:type="pct"/>
        <w:jc w:val="center"/>
        <w:tblCellMar>
          <w:left w:w="57" w:type="dxa"/>
          <w:right w:w="57" w:type="dxa"/>
        </w:tblCellMar>
        <w:tblLook w:val="04A0" w:firstRow="1" w:lastRow="0" w:firstColumn="1" w:lastColumn="0" w:noHBand="0" w:noVBand="1"/>
      </w:tblPr>
      <w:tblGrid>
        <w:gridCol w:w="1455"/>
        <w:gridCol w:w="714"/>
        <w:gridCol w:w="958"/>
        <w:gridCol w:w="897"/>
        <w:gridCol w:w="618"/>
        <w:gridCol w:w="475"/>
        <w:gridCol w:w="897"/>
        <w:gridCol w:w="618"/>
        <w:gridCol w:w="475"/>
        <w:gridCol w:w="897"/>
        <w:gridCol w:w="618"/>
        <w:gridCol w:w="475"/>
        <w:gridCol w:w="1097"/>
      </w:tblGrid>
      <w:tr w:rsidR="00BF5273" w:rsidRPr="00621BF1" w:rsidTr="00A718E5">
        <w:trPr>
          <w:trHeight w:val="287"/>
          <w:jc w:val="center"/>
        </w:trPr>
        <w:tc>
          <w:tcPr>
            <w:tcW w:w="714" w:type="pct"/>
            <w:vMerge w:val="restart"/>
            <w:tcBorders>
              <w:top w:val="single" w:sz="8" w:space="0" w:color="auto"/>
              <w:left w:val="single" w:sz="8" w:space="0" w:color="auto"/>
              <w:bottom w:val="single" w:sz="4" w:space="0" w:color="000000"/>
              <w:right w:val="single" w:sz="8" w:space="0" w:color="auto"/>
            </w:tcBorders>
            <w:shd w:val="clear" w:color="auto" w:fill="C45911" w:themeFill="accent2" w:themeFillShade="BF"/>
            <w:noWrap/>
            <w:vAlign w:val="center"/>
            <w:hideMark/>
          </w:tcPr>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ANNEE</w:t>
            </w:r>
          </w:p>
        </w:tc>
        <w:tc>
          <w:tcPr>
            <w:tcW w:w="1260" w:type="pct"/>
            <w:gridSpan w:val="3"/>
            <w:tcBorders>
              <w:top w:val="single" w:sz="8" w:space="0" w:color="auto"/>
              <w:left w:val="nil"/>
              <w:bottom w:val="single" w:sz="4" w:space="0" w:color="auto"/>
              <w:right w:val="single" w:sz="8" w:space="0" w:color="000000"/>
            </w:tcBorders>
            <w:shd w:val="clear" w:color="auto" w:fill="C45911" w:themeFill="accent2" w:themeFillShade="BF"/>
            <w:noWrap/>
            <w:vAlign w:val="center"/>
            <w:hideMark/>
          </w:tcPr>
          <w:p w:rsidR="00BF5273" w:rsidRPr="00621BF1" w:rsidRDefault="00BF5273" w:rsidP="00A718E5">
            <w:pPr>
              <w:spacing w:after="120"/>
              <w:jc w:val="center"/>
              <w:rPr>
                <w:rFonts w:cs="Arial"/>
                <w:bCs/>
                <w:color w:val="FFFFFF" w:themeColor="background1"/>
                <w:sz w:val="20"/>
                <w:szCs w:val="20"/>
              </w:rPr>
            </w:pPr>
            <w:r w:rsidRPr="00621BF1">
              <w:rPr>
                <w:rFonts w:cs="Arial"/>
                <w:bCs/>
                <w:color w:val="FFFFFF" w:themeColor="background1"/>
                <w:sz w:val="20"/>
                <w:szCs w:val="20"/>
              </w:rPr>
              <w:t>BCG</w:t>
            </w:r>
          </w:p>
        </w:tc>
        <w:tc>
          <w:tcPr>
            <w:tcW w:w="976" w:type="pct"/>
            <w:gridSpan w:val="3"/>
            <w:tcBorders>
              <w:top w:val="single" w:sz="8" w:space="0" w:color="auto"/>
              <w:left w:val="nil"/>
              <w:bottom w:val="single" w:sz="4" w:space="0" w:color="auto"/>
              <w:right w:val="single" w:sz="8" w:space="0" w:color="000000"/>
            </w:tcBorders>
            <w:shd w:val="clear" w:color="auto" w:fill="C45911" w:themeFill="accent2" w:themeFillShade="BF"/>
            <w:noWrap/>
            <w:vAlign w:val="center"/>
            <w:hideMark/>
          </w:tcPr>
          <w:p w:rsidR="00BF5273" w:rsidRPr="00621BF1" w:rsidRDefault="00BF5273" w:rsidP="00A718E5">
            <w:pPr>
              <w:spacing w:after="120"/>
              <w:jc w:val="center"/>
              <w:rPr>
                <w:rFonts w:cs="Arial"/>
                <w:bCs/>
                <w:color w:val="FFFFFF" w:themeColor="background1"/>
                <w:sz w:val="20"/>
                <w:szCs w:val="20"/>
              </w:rPr>
            </w:pPr>
            <w:r w:rsidRPr="00621BF1">
              <w:rPr>
                <w:rFonts w:cs="Arial"/>
                <w:bCs/>
                <w:color w:val="FFFFFF" w:themeColor="background1"/>
                <w:sz w:val="20"/>
                <w:szCs w:val="20"/>
              </w:rPr>
              <w:t>Penta 1</w:t>
            </w:r>
          </w:p>
        </w:tc>
        <w:tc>
          <w:tcPr>
            <w:tcW w:w="976" w:type="pct"/>
            <w:gridSpan w:val="3"/>
            <w:tcBorders>
              <w:top w:val="single" w:sz="8" w:space="0" w:color="auto"/>
              <w:left w:val="nil"/>
              <w:bottom w:val="single" w:sz="4" w:space="0" w:color="auto"/>
              <w:right w:val="single" w:sz="8" w:space="0" w:color="000000"/>
            </w:tcBorders>
            <w:shd w:val="clear" w:color="auto" w:fill="C45911" w:themeFill="accent2" w:themeFillShade="BF"/>
            <w:noWrap/>
            <w:vAlign w:val="center"/>
            <w:hideMark/>
          </w:tcPr>
          <w:p w:rsidR="00BF5273" w:rsidRPr="00621BF1" w:rsidRDefault="00BF5273" w:rsidP="00A718E5">
            <w:pPr>
              <w:spacing w:after="120"/>
              <w:jc w:val="center"/>
              <w:rPr>
                <w:rFonts w:cs="Arial"/>
                <w:bCs/>
                <w:color w:val="FFFFFF" w:themeColor="background1"/>
                <w:sz w:val="20"/>
                <w:szCs w:val="20"/>
              </w:rPr>
            </w:pPr>
            <w:r w:rsidRPr="00621BF1">
              <w:rPr>
                <w:rFonts w:cs="Arial"/>
                <w:bCs/>
                <w:color w:val="FFFFFF" w:themeColor="background1"/>
                <w:sz w:val="20"/>
                <w:szCs w:val="20"/>
              </w:rPr>
              <w:t>Penta3</w:t>
            </w:r>
          </w:p>
        </w:tc>
        <w:tc>
          <w:tcPr>
            <w:tcW w:w="1074" w:type="pct"/>
            <w:gridSpan w:val="3"/>
            <w:tcBorders>
              <w:top w:val="single" w:sz="8" w:space="0" w:color="auto"/>
              <w:left w:val="nil"/>
              <w:bottom w:val="single" w:sz="4" w:space="0" w:color="auto"/>
              <w:right w:val="single" w:sz="8" w:space="0" w:color="000000"/>
            </w:tcBorders>
            <w:shd w:val="clear" w:color="auto" w:fill="C45911" w:themeFill="accent2" w:themeFillShade="BF"/>
            <w:noWrap/>
            <w:vAlign w:val="center"/>
            <w:hideMark/>
          </w:tcPr>
          <w:p w:rsidR="00BF5273" w:rsidRPr="00621BF1" w:rsidRDefault="00BF5273" w:rsidP="00A718E5">
            <w:pPr>
              <w:spacing w:after="120"/>
              <w:jc w:val="center"/>
              <w:rPr>
                <w:rFonts w:cs="Arial"/>
                <w:bCs/>
                <w:color w:val="FFFFFF" w:themeColor="background1"/>
                <w:sz w:val="20"/>
                <w:szCs w:val="20"/>
              </w:rPr>
            </w:pPr>
            <w:r w:rsidRPr="00621BF1">
              <w:rPr>
                <w:rFonts w:cs="Arial"/>
                <w:bCs/>
                <w:color w:val="FFFFFF" w:themeColor="background1"/>
                <w:sz w:val="20"/>
                <w:szCs w:val="20"/>
              </w:rPr>
              <w:t>VAR1</w:t>
            </w:r>
          </w:p>
        </w:tc>
      </w:tr>
      <w:tr w:rsidR="00BF5273" w:rsidRPr="00621BF1" w:rsidTr="00A718E5">
        <w:trPr>
          <w:trHeight w:val="591"/>
          <w:jc w:val="center"/>
        </w:trPr>
        <w:tc>
          <w:tcPr>
            <w:tcW w:w="714" w:type="pct"/>
            <w:vMerge/>
            <w:tcBorders>
              <w:top w:val="single" w:sz="8" w:space="0" w:color="auto"/>
              <w:left w:val="single" w:sz="8" w:space="0" w:color="auto"/>
              <w:bottom w:val="single" w:sz="4" w:space="0" w:color="000000"/>
              <w:right w:val="single" w:sz="8"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p>
        </w:tc>
        <w:tc>
          <w:tcPr>
            <w:tcW w:w="350" w:type="pct"/>
            <w:tcBorders>
              <w:top w:val="nil"/>
              <w:left w:val="nil"/>
              <w:bottom w:val="single" w:sz="4" w:space="0" w:color="auto"/>
              <w:right w:val="single" w:sz="4"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proofErr w:type="spellStart"/>
            <w:r w:rsidRPr="00621BF1">
              <w:rPr>
                <w:rFonts w:cs="Arial"/>
                <w:bCs/>
                <w:color w:val="FFFFFF" w:themeColor="background1"/>
                <w:sz w:val="20"/>
                <w:szCs w:val="20"/>
              </w:rPr>
              <w:t>Adm</w:t>
            </w:r>
            <w:proofErr w:type="spellEnd"/>
            <w:r w:rsidRPr="00621BF1">
              <w:rPr>
                <w:rFonts w:cs="Arial"/>
                <w:bCs/>
                <w:color w:val="FFFFFF" w:themeColor="background1"/>
                <w:sz w:val="20"/>
                <w:szCs w:val="20"/>
              </w:rPr>
              <w:t>.</w:t>
            </w:r>
          </w:p>
        </w:tc>
        <w:tc>
          <w:tcPr>
            <w:tcW w:w="470" w:type="pct"/>
            <w:tcBorders>
              <w:top w:val="nil"/>
              <w:left w:val="single" w:sz="8" w:space="0" w:color="auto"/>
              <w:bottom w:val="single" w:sz="4" w:space="0" w:color="auto"/>
              <w:right w:val="single" w:sz="4"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Off.</w:t>
            </w:r>
          </w:p>
        </w:tc>
        <w:tc>
          <w:tcPr>
            <w:tcW w:w="440" w:type="pct"/>
            <w:tcBorders>
              <w:top w:val="nil"/>
              <w:left w:val="single" w:sz="8" w:space="0" w:color="auto"/>
              <w:bottom w:val="single" w:sz="4" w:space="0" w:color="auto"/>
              <w:right w:val="single" w:sz="4"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OMS/</w:t>
            </w:r>
          </w:p>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UNICEF</w:t>
            </w:r>
          </w:p>
        </w:tc>
        <w:tc>
          <w:tcPr>
            <w:tcW w:w="303" w:type="pct"/>
            <w:tcBorders>
              <w:top w:val="nil"/>
              <w:left w:val="single" w:sz="8" w:space="0" w:color="auto"/>
              <w:bottom w:val="single" w:sz="4" w:space="0" w:color="auto"/>
              <w:right w:val="single" w:sz="4" w:space="0" w:color="auto"/>
            </w:tcBorders>
            <w:shd w:val="clear" w:color="auto" w:fill="C45911" w:themeFill="accent2" w:themeFillShade="BF"/>
            <w:vAlign w:val="center"/>
          </w:tcPr>
          <w:p w:rsidR="00BF5273" w:rsidRPr="00621BF1" w:rsidRDefault="00BF5273" w:rsidP="00A718E5">
            <w:pPr>
              <w:spacing w:after="120"/>
              <w:jc w:val="both"/>
              <w:rPr>
                <w:rFonts w:cs="Arial"/>
                <w:bCs/>
                <w:color w:val="FFFFFF" w:themeColor="background1"/>
                <w:sz w:val="20"/>
                <w:szCs w:val="20"/>
              </w:rPr>
            </w:pPr>
            <w:proofErr w:type="spellStart"/>
            <w:r w:rsidRPr="00621BF1">
              <w:rPr>
                <w:rFonts w:cs="Arial"/>
                <w:bCs/>
                <w:color w:val="FFFFFF" w:themeColor="background1"/>
                <w:sz w:val="20"/>
                <w:szCs w:val="20"/>
              </w:rPr>
              <w:t>Adm</w:t>
            </w:r>
            <w:proofErr w:type="spellEnd"/>
            <w:r w:rsidRPr="00621BF1">
              <w:rPr>
                <w:rFonts w:cs="Arial"/>
                <w:bCs/>
                <w:color w:val="FFFFFF" w:themeColor="background1"/>
                <w:sz w:val="20"/>
                <w:szCs w:val="20"/>
              </w:rPr>
              <w:t>.</w:t>
            </w:r>
          </w:p>
        </w:tc>
        <w:tc>
          <w:tcPr>
            <w:tcW w:w="233" w:type="pct"/>
            <w:tcBorders>
              <w:top w:val="nil"/>
              <w:left w:val="single" w:sz="8" w:space="0" w:color="auto"/>
              <w:bottom w:val="single" w:sz="4" w:space="0" w:color="auto"/>
              <w:right w:val="single" w:sz="4" w:space="0" w:color="auto"/>
            </w:tcBorders>
            <w:shd w:val="clear" w:color="auto" w:fill="C45911" w:themeFill="accent2" w:themeFillShade="BF"/>
            <w:vAlign w:val="center"/>
          </w:tcPr>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Off.</w:t>
            </w:r>
          </w:p>
        </w:tc>
        <w:tc>
          <w:tcPr>
            <w:tcW w:w="440" w:type="pct"/>
            <w:tcBorders>
              <w:top w:val="nil"/>
              <w:left w:val="single" w:sz="8" w:space="0" w:color="auto"/>
              <w:bottom w:val="single" w:sz="4" w:space="0" w:color="auto"/>
              <w:right w:val="single" w:sz="4" w:space="0" w:color="auto"/>
            </w:tcBorders>
            <w:shd w:val="clear" w:color="auto" w:fill="C45911" w:themeFill="accent2" w:themeFillShade="BF"/>
            <w:vAlign w:val="center"/>
          </w:tcPr>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OMS/</w:t>
            </w:r>
          </w:p>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UNICEF</w:t>
            </w:r>
          </w:p>
        </w:tc>
        <w:tc>
          <w:tcPr>
            <w:tcW w:w="303" w:type="pct"/>
            <w:tcBorders>
              <w:top w:val="nil"/>
              <w:left w:val="single" w:sz="8" w:space="0" w:color="auto"/>
              <w:bottom w:val="single" w:sz="4" w:space="0" w:color="auto"/>
              <w:right w:val="single" w:sz="4"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proofErr w:type="spellStart"/>
            <w:r w:rsidRPr="00621BF1">
              <w:rPr>
                <w:rFonts w:cs="Arial"/>
                <w:bCs/>
                <w:color w:val="FFFFFF" w:themeColor="background1"/>
                <w:sz w:val="20"/>
                <w:szCs w:val="20"/>
              </w:rPr>
              <w:t>Adm</w:t>
            </w:r>
            <w:proofErr w:type="spellEnd"/>
            <w:r w:rsidRPr="00621BF1">
              <w:rPr>
                <w:rFonts w:cs="Arial"/>
                <w:bCs/>
                <w:color w:val="FFFFFF" w:themeColor="background1"/>
                <w:sz w:val="20"/>
                <w:szCs w:val="20"/>
              </w:rPr>
              <w:t>.</w:t>
            </w:r>
          </w:p>
        </w:tc>
        <w:tc>
          <w:tcPr>
            <w:tcW w:w="233" w:type="pct"/>
            <w:tcBorders>
              <w:top w:val="nil"/>
              <w:left w:val="single" w:sz="8" w:space="0" w:color="auto"/>
              <w:bottom w:val="single" w:sz="4" w:space="0" w:color="auto"/>
              <w:right w:val="single" w:sz="4"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Off.</w:t>
            </w:r>
          </w:p>
        </w:tc>
        <w:tc>
          <w:tcPr>
            <w:tcW w:w="440" w:type="pct"/>
            <w:tcBorders>
              <w:top w:val="nil"/>
              <w:left w:val="single" w:sz="8" w:space="0" w:color="auto"/>
              <w:bottom w:val="single" w:sz="4" w:space="0" w:color="auto"/>
              <w:right w:val="single" w:sz="4"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OMS/</w:t>
            </w:r>
          </w:p>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UNICEF</w:t>
            </w:r>
          </w:p>
        </w:tc>
        <w:tc>
          <w:tcPr>
            <w:tcW w:w="303" w:type="pct"/>
            <w:tcBorders>
              <w:top w:val="nil"/>
              <w:left w:val="single" w:sz="8" w:space="0" w:color="auto"/>
              <w:bottom w:val="single" w:sz="4" w:space="0" w:color="auto"/>
              <w:right w:val="single" w:sz="4"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proofErr w:type="spellStart"/>
            <w:r w:rsidRPr="00621BF1">
              <w:rPr>
                <w:rFonts w:cs="Arial"/>
                <w:bCs/>
                <w:color w:val="FFFFFF" w:themeColor="background1"/>
                <w:sz w:val="20"/>
                <w:szCs w:val="20"/>
              </w:rPr>
              <w:t>Adm</w:t>
            </w:r>
            <w:proofErr w:type="spellEnd"/>
            <w:r w:rsidRPr="00621BF1">
              <w:rPr>
                <w:rFonts w:cs="Arial"/>
                <w:bCs/>
                <w:color w:val="FFFFFF" w:themeColor="background1"/>
                <w:sz w:val="20"/>
                <w:szCs w:val="20"/>
              </w:rPr>
              <w:t>.</w:t>
            </w:r>
          </w:p>
        </w:tc>
        <w:tc>
          <w:tcPr>
            <w:tcW w:w="233" w:type="pct"/>
            <w:tcBorders>
              <w:top w:val="nil"/>
              <w:left w:val="single" w:sz="8" w:space="0" w:color="auto"/>
              <w:bottom w:val="single" w:sz="4" w:space="0" w:color="auto"/>
              <w:right w:val="single" w:sz="4"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Off.</w:t>
            </w:r>
          </w:p>
        </w:tc>
        <w:tc>
          <w:tcPr>
            <w:tcW w:w="538" w:type="pct"/>
            <w:tcBorders>
              <w:top w:val="nil"/>
              <w:left w:val="single" w:sz="8" w:space="0" w:color="auto"/>
              <w:bottom w:val="single" w:sz="4" w:space="0" w:color="auto"/>
              <w:right w:val="single" w:sz="4" w:space="0" w:color="auto"/>
            </w:tcBorders>
            <w:shd w:val="clear" w:color="auto" w:fill="C45911" w:themeFill="accent2" w:themeFillShade="BF"/>
            <w:vAlign w:val="center"/>
            <w:hideMark/>
          </w:tcPr>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OMS/</w:t>
            </w:r>
          </w:p>
          <w:p w:rsidR="00BF5273" w:rsidRPr="00621BF1" w:rsidRDefault="00BF5273" w:rsidP="00A718E5">
            <w:pPr>
              <w:spacing w:after="120"/>
              <w:jc w:val="both"/>
              <w:rPr>
                <w:rFonts w:cs="Arial"/>
                <w:bCs/>
                <w:color w:val="FFFFFF" w:themeColor="background1"/>
                <w:sz w:val="20"/>
                <w:szCs w:val="20"/>
              </w:rPr>
            </w:pPr>
            <w:r w:rsidRPr="00621BF1">
              <w:rPr>
                <w:rFonts w:cs="Arial"/>
                <w:bCs/>
                <w:color w:val="FFFFFF" w:themeColor="background1"/>
                <w:sz w:val="20"/>
                <w:szCs w:val="20"/>
              </w:rPr>
              <w:t>UNICEF</w:t>
            </w:r>
          </w:p>
        </w:tc>
      </w:tr>
      <w:tr w:rsidR="00BF5273" w:rsidRPr="00621BF1" w:rsidTr="00A718E5">
        <w:trPr>
          <w:trHeight w:val="495"/>
          <w:jc w:val="center"/>
        </w:trPr>
        <w:tc>
          <w:tcPr>
            <w:tcW w:w="714" w:type="pct"/>
            <w:tcBorders>
              <w:top w:val="nil"/>
              <w:left w:val="single" w:sz="8" w:space="0" w:color="auto"/>
              <w:bottom w:val="single" w:sz="4" w:space="0" w:color="auto"/>
              <w:right w:val="single" w:sz="8" w:space="0" w:color="auto"/>
            </w:tcBorders>
            <w:shd w:val="clear" w:color="auto" w:fill="auto"/>
            <w:noWrap/>
            <w:vAlign w:val="center"/>
            <w:hideMark/>
          </w:tcPr>
          <w:p w:rsidR="00BF5273" w:rsidRPr="00621BF1" w:rsidRDefault="00BF5273" w:rsidP="00A718E5">
            <w:pPr>
              <w:spacing w:after="120"/>
              <w:jc w:val="both"/>
              <w:rPr>
                <w:rFonts w:cs="Arial"/>
                <w:bCs/>
                <w:sz w:val="20"/>
                <w:szCs w:val="20"/>
              </w:rPr>
            </w:pPr>
            <w:r w:rsidRPr="00621BF1">
              <w:rPr>
                <w:rFonts w:cs="Arial"/>
                <w:bCs/>
                <w:sz w:val="20"/>
                <w:szCs w:val="20"/>
              </w:rPr>
              <w:t>2011</w:t>
            </w:r>
          </w:p>
        </w:tc>
        <w:tc>
          <w:tcPr>
            <w:tcW w:w="350"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100</w:t>
            </w:r>
          </w:p>
        </w:tc>
        <w:tc>
          <w:tcPr>
            <w:tcW w:w="470"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93</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82</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104</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80</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76</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95</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85</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63</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97</w:t>
            </w:r>
          </w:p>
        </w:tc>
        <w:tc>
          <w:tcPr>
            <w:tcW w:w="233" w:type="pct"/>
            <w:tcBorders>
              <w:top w:val="nil"/>
              <w:left w:val="nil"/>
              <w:bottom w:val="single" w:sz="4" w:space="0" w:color="auto"/>
              <w:right w:val="nil"/>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90</w:t>
            </w:r>
          </w:p>
        </w:tc>
        <w:tc>
          <w:tcPr>
            <w:tcW w:w="538"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62</w:t>
            </w:r>
          </w:p>
        </w:tc>
      </w:tr>
      <w:tr w:rsidR="00BF5273" w:rsidRPr="00621BF1" w:rsidTr="00A718E5">
        <w:trPr>
          <w:trHeight w:val="495"/>
          <w:jc w:val="center"/>
        </w:trPr>
        <w:tc>
          <w:tcPr>
            <w:tcW w:w="714" w:type="pct"/>
            <w:tcBorders>
              <w:top w:val="nil"/>
              <w:left w:val="single" w:sz="8" w:space="0" w:color="auto"/>
              <w:bottom w:val="single" w:sz="4" w:space="0" w:color="auto"/>
              <w:right w:val="single" w:sz="8" w:space="0" w:color="auto"/>
            </w:tcBorders>
            <w:shd w:val="clear" w:color="auto" w:fill="auto"/>
            <w:noWrap/>
            <w:vAlign w:val="center"/>
            <w:hideMark/>
          </w:tcPr>
          <w:p w:rsidR="00BF5273" w:rsidRPr="00621BF1" w:rsidRDefault="00BF5273" w:rsidP="00A718E5">
            <w:pPr>
              <w:spacing w:after="120"/>
              <w:jc w:val="both"/>
              <w:rPr>
                <w:rFonts w:cs="Arial"/>
                <w:bCs/>
                <w:sz w:val="20"/>
                <w:szCs w:val="20"/>
              </w:rPr>
            </w:pPr>
            <w:r w:rsidRPr="00621BF1">
              <w:rPr>
                <w:rFonts w:cs="Arial"/>
                <w:bCs/>
                <w:sz w:val="20"/>
                <w:szCs w:val="20"/>
              </w:rPr>
              <w:t>2012</w:t>
            </w:r>
          </w:p>
        </w:tc>
        <w:tc>
          <w:tcPr>
            <w:tcW w:w="350"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84</w:t>
            </w:r>
          </w:p>
        </w:tc>
        <w:tc>
          <w:tcPr>
            <w:tcW w:w="470"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84</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74</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108</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108</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76</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102</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102</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63</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101</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101</w:t>
            </w:r>
          </w:p>
        </w:tc>
        <w:tc>
          <w:tcPr>
            <w:tcW w:w="538"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62</w:t>
            </w:r>
          </w:p>
        </w:tc>
      </w:tr>
      <w:tr w:rsidR="00BF5273" w:rsidRPr="00621BF1" w:rsidTr="00A718E5">
        <w:trPr>
          <w:trHeight w:val="495"/>
          <w:jc w:val="center"/>
        </w:trPr>
        <w:tc>
          <w:tcPr>
            <w:tcW w:w="714" w:type="pct"/>
            <w:tcBorders>
              <w:top w:val="nil"/>
              <w:left w:val="single" w:sz="8" w:space="0" w:color="auto"/>
              <w:bottom w:val="single" w:sz="4" w:space="0" w:color="auto"/>
              <w:right w:val="single" w:sz="8" w:space="0" w:color="auto"/>
            </w:tcBorders>
            <w:shd w:val="clear" w:color="auto" w:fill="auto"/>
            <w:noWrap/>
            <w:vAlign w:val="center"/>
            <w:hideMark/>
          </w:tcPr>
          <w:p w:rsidR="00BF5273" w:rsidRPr="00621BF1" w:rsidRDefault="00BF5273" w:rsidP="00A718E5">
            <w:pPr>
              <w:spacing w:after="120"/>
              <w:jc w:val="both"/>
              <w:rPr>
                <w:rFonts w:cs="Arial"/>
                <w:bCs/>
                <w:sz w:val="20"/>
                <w:szCs w:val="20"/>
              </w:rPr>
            </w:pPr>
            <w:r w:rsidRPr="00621BF1">
              <w:rPr>
                <w:rFonts w:cs="Arial"/>
                <w:bCs/>
                <w:sz w:val="20"/>
                <w:szCs w:val="20"/>
              </w:rPr>
              <w:t>2013</w:t>
            </w:r>
          </w:p>
        </w:tc>
        <w:tc>
          <w:tcPr>
            <w:tcW w:w="350"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99</w:t>
            </w:r>
          </w:p>
        </w:tc>
        <w:tc>
          <w:tcPr>
            <w:tcW w:w="470"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95</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82</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115</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95</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76</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103</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90</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63</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103</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90</w:t>
            </w:r>
          </w:p>
        </w:tc>
        <w:tc>
          <w:tcPr>
            <w:tcW w:w="538"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62</w:t>
            </w:r>
          </w:p>
        </w:tc>
      </w:tr>
      <w:tr w:rsidR="00BF5273" w:rsidRPr="00621BF1" w:rsidTr="00A718E5">
        <w:trPr>
          <w:trHeight w:val="495"/>
          <w:jc w:val="center"/>
        </w:trPr>
        <w:tc>
          <w:tcPr>
            <w:tcW w:w="714" w:type="pct"/>
            <w:tcBorders>
              <w:top w:val="nil"/>
              <w:left w:val="single" w:sz="8" w:space="0" w:color="auto"/>
              <w:bottom w:val="single" w:sz="4" w:space="0" w:color="auto"/>
              <w:right w:val="single" w:sz="8" w:space="0" w:color="auto"/>
            </w:tcBorders>
            <w:shd w:val="clear" w:color="auto" w:fill="auto"/>
            <w:noWrap/>
            <w:vAlign w:val="center"/>
            <w:hideMark/>
          </w:tcPr>
          <w:p w:rsidR="00BF5273" w:rsidRPr="00621BF1" w:rsidRDefault="00BF5273" w:rsidP="00A718E5">
            <w:pPr>
              <w:spacing w:after="120"/>
              <w:jc w:val="both"/>
              <w:rPr>
                <w:rFonts w:cs="Arial"/>
                <w:bCs/>
                <w:sz w:val="20"/>
                <w:szCs w:val="20"/>
              </w:rPr>
            </w:pPr>
            <w:r w:rsidRPr="00621BF1">
              <w:rPr>
                <w:rFonts w:cs="Arial"/>
                <w:bCs/>
                <w:sz w:val="20"/>
                <w:szCs w:val="20"/>
              </w:rPr>
              <w:t>2014</w:t>
            </w:r>
          </w:p>
        </w:tc>
        <w:tc>
          <w:tcPr>
            <w:tcW w:w="350"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88</w:t>
            </w:r>
          </w:p>
        </w:tc>
        <w:tc>
          <w:tcPr>
            <w:tcW w:w="470"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82</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72</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99</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75</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60</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91</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60</w:t>
            </w:r>
          </w:p>
        </w:tc>
        <w:tc>
          <w:tcPr>
            <w:tcW w:w="440"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51</w:t>
            </w:r>
          </w:p>
        </w:tc>
        <w:tc>
          <w:tcPr>
            <w:tcW w:w="303" w:type="pct"/>
            <w:tcBorders>
              <w:top w:val="nil"/>
              <w:left w:val="nil"/>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94</w:t>
            </w:r>
          </w:p>
        </w:tc>
        <w:tc>
          <w:tcPr>
            <w:tcW w:w="233" w:type="pct"/>
            <w:tcBorders>
              <w:top w:val="nil"/>
              <w:left w:val="nil"/>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62</w:t>
            </w:r>
          </w:p>
        </w:tc>
        <w:tc>
          <w:tcPr>
            <w:tcW w:w="538" w:type="pct"/>
            <w:tcBorders>
              <w:top w:val="nil"/>
              <w:left w:val="single" w:sz="4" w:space="0" w:color="auto"/>
              <w:bottom w:val="single" w:sz="4" w:space="0" w:color="auto"/>
              <w:right w:val="single" w:sz="8"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52</w:t>
            </w:r>
          </w:p>
        </w:tc>
      </w:tr>
      <w:tr w:rsidR="00BF5273" w:rsidRPr="00621BF1" w:rsidTr="00A718E5">
        <w:trPr>
          <w:trHeight w:val="495"/>
          <w:jc w:val="center"/>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both"/>
              <w:rPr>
                <w:rFonts w:cs="Arial"/>
                <w:bCs/>
                <w:sz w:val="20"/>
                <w:szCs w:val="20"/>
              </w:rPr>
            </w:pPr>
            <w:r w:rsidRPr="00621BF1">
              <w:rPr>
                <w:rFonts w:cs="Arial"/>
                <w:bCs/>
                <w:sz w:val="20"/>
                <w:szCs w:val="20"/>
              </w:rPr>
              <w:t>2015</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85</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75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72</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90</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70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80</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51</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90</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60</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621BF1">
              <w:rPr>
                <w:rFonts w:cs="Arial"/>
                <w:bCs/>
                <w:sz w:val="20"/>
                <w:szCs w:val="20"/>
              </w:rPr>
              <w:t>52</w:t>
            </w:r>
          </w:p>
        </w:tc>
      </w:tr>
      <w:tr w:rsidR="00BF5273" w:rsidRPr="00621BF1" w:rsidTr="00A718E5">
        <w:trPr>
          <w:trHeight w:val="495"/>
          <w:jc w:val="center"/>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F52DBC" w:rsidRDefault="00BF5273" w:rsidP="00A718E5">
            <w:pPr>
              <w:spacing w:after="120"/>
              <w:jc w:val="both"/>
              <w:rPr>
                <w:rFonts w:cs="Arial"/>
                <w:bCs/>
                <w:color w:val="FF0000"/>
                <w:sz w:val="20"/>
                <w:szCs w:val="20"/>
              </w:rPr>
            </w:pPr>
            <w:r w:rsidRPr="00F52DBC">
              <w:rPr>
                <w:rFonts w:cs="Arial"/>
                <w:bCs/>
                <w:color w:val="FF0000"/>
                <w:sz w:val="20"/>
                <w:szCs w:val="20"/>
              </w:rPr>
              <w:t>2016</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98</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F52DBC">
              <w:rPr>
                <w:rFonts w:cs="Arial"/>
                <w:bCs/>
                <w:color w:val="FF0000"/>
                <w:sz w:val="20"/>
                <w:szCs w:val="20"/>
              </w:rPr>
              <w:t>86</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F52DBC">
              <w:rPr>
                <w:rFonts w:cs="Arial"/>
                <w:bCs/>
                <w:color w:val="FF0000"/>
                <w:sz w:val="20"/>
                <w:szCs w:val="20"/>
              </w:rPr>
              <w:t>86</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105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F52DBC">
              <w:rPr>
                <w:rFonts w:cs="Arial"/>
                <w:bCs/>
                <w:color w:val="FF0000"/>
                <w:sz w:val="20"/>
                <w:szCs w:val="20"/>
              </w:rPr>
              <w:t>80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80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119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66</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CE4115" w:rsidRDefault="00BF5273" w:rsidP="00A718E5">
            <w:pPr>
              <w:spacing w:after="120"/>
              <w:jc w:val="center"/>
              <w:rPr>
                <w:rFonts w:cs="Arial"/>
                <w:bCs/>
                <w:color w:val="00B050"/>
                <w:sz w:val="20"/>
                <w:szCs w:val="20"/>
              </w:rPr>
            </w:pPr>
            <w:r w:rsidRPr="00CE4115">
              <w:rPr>
                <w:rFonts w:cs="Arial"/>
                <w:bCs/>
                <w:color w:val="00B050"/>
                <w:sz w:val="20"/>
                <w:szCs w:val="20"/>
              </w:rPr>
              <w:t>45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120</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96</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F52DBC">
              <w:rPr>
                <w:rFonts w:cs="Arial"/>
                <w:bCs/>
                <w:color w:val="FF0000"/>
                <w:sz w:val="20"/>
                <w:szCs w:val="20"/>
              </w:rPr>
              <w:t>64</w:t>
            </w:r>
          </w:p>
        </w:tc>
      </w:tr>
      <w:tr w:rsidR="00BF5273" w:rsidRPr="00F52DBC" w:rsidTr="00A718E5">
        <w:trPr>
          <w:trHeight w:val="495"/>
          <w:jc w:val="center"/>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F52DBC" w:rsidRDefault="00BF5273" w:rsidP="00A718E5">
            <w:pPr>
              <w:spacing w:after="120"/>
              <w:jc w:val="both"/>
              <w:rPr>
                <w:rFonts w:cs="Arial"/>
                <w:bCs/>
                <w:color w:val="FF0000"/>
                <w:sz w:val="20"/>
                <w:szCs w:val="20"/>
              </w:rPr>
            </w:pPr>
            <w:r w:rsidRPr="00F52DBC">
              <w:rPr>
                <w:rFonts w:cs="Arial"/>
                <w:bCs/>
                <w:color w:val="FF0000"/>
                <w:sz w:val="20"/>
                <w:szCs w:val="20"/>
              </w:rPr>
              <w:t>2017</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95</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91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sidRPr="00F52DBC">
              <w:rPr>
                <w:rFonts w:cs="Arial"/>
                <w:bCs/>
                <w:color w:val="FF0000"/>
                <w:sz w:val="20"/>
                <w:szCs w:val="20"/>
              </w:rPr>
              <w:t>91</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102</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F52DBC" w:rsidRDefault="00BF5273" w:rsidP="00A718E5">
            <w:pPr>
              <w:spacing w:after="120"/>
              <w:jc w:val="center"/>
              <w:rPr>
                <w:rFonts w:cs="Arial"/>
                <w:bCs/>
                <w:color w:val="FF0000"/>
                <w:sz w:val="20"/>
                <w:szCs w:val="20"/>
              </w:rPr>
            </w:pPr>
            <w:r w:rsidRPr="00F52DBC">
              <w:rPr>
                <w:rFonts w:cs="Arial"/>
                <w:bCs/>
                <w:color w:val="FF0000"/>
                <w:sz w:val="20"/>
                <w:szCs w:val="20"/>
              </w:rPr>
              <w:t>75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F52DBC" w:rsidRDefault="00BF5273" w:rsidP="00A718E5">
            <w:pPr>
              <w:spacing w:after="120"/>
              <w:jc w:val="center"/>
              <w:rPr>
                <w:rFonts w:cs="Arial"/>
                <w:bCs/>
                <w:color w:val="FF0000"/>
                <w:sz w:val="20"/>
                <w:szCs w:val="20"/>
              </w:rPr>
            </w:pPr>
            <w:r w:rsidRPr="00F52DBC">
              <w:rPr>
                <w:rFonts w:cs="Arial"/>
                <w:bCs/>
                <w:color w:val="FF0000"/>
                <w:sz w:val="20"/>
                <w:szCs w:val="20"/>
              </w:rPr>
              <w:t>75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94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70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CE4115" w:rsidRDefault="00BF5273" w:rsidP="00A718E5">
            <w:pPr>
              <w:spacing w:after="120"/>
              <w:jc w:val="center"/>
              <w:rPr>
                <w:rFonts w:cs="Arial"/>
                <w:bCs/>
                <w:color w:val="00B050"/>
                <w:sz w:val="20"/>
                <w:szCs w:val="20"/>
              </w:rPr>
            </w:pPr>
            <w:r w:rsidRPr="00CE4115">
              <w:rPr>
                <w:rFonts w:cs="Arial"/>
                <w:bCs/>
                <w:color w:val="00B050"/>
                <w:sz w:val="20"/>
                <w:szCs w:val="20"/>
              </w:rPr>
              <w:t>45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621BF1" w:rsidRDefault="00BF5273" w:rsidP="00A718E5">
            <w:pPr>
              <w:spacing w:after="120"/>
              <w:jc w:val="center"/>
              <w:rPr>
                <w:rFonts w:cs="Arial"/>
                <w:bCs/>
                <w:sz w:val="20"/>
                <w:szCs w:val="20"/>
              </w:rPr>
            </w:pPr>
            <w:r>
              <w:rPr>
                <w:rFonts w:cs="Arial"/>
                <w:bCs/>
                <w:sz w:val="20"/>
                <w:szCs w:val="20"/>
              </w:rPr>
              <w:t>95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F52DBC" w:rsidRDefault="00BF5273" w:rsidP="00A718E5">
            <w:pPr>
              <w:spacing w:after="120"/>
              <w:jc w:val="center"/>
              <w:rPr>
                <w:rFonts w:cs="Arial"/>
                <w:bCs/>
                <w:color w:val="FF0000"/>
                <w:sz w:val="20"/>
                <w:szCs w:val="20"/>
              </w:rPr>
            </w:pPr>
            <w:r w:rsidRPr="00F52DBC">
              <w:rPr>
                <w:rFonts w:cs="Arial"/>
                <w:bCs/>
                <w:color w:val="FF0000"/>
                <w:sz w:val="20"/>
                <w:szCs w:val="20"/>
              </w:rPr>
              <w:t>65</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5273" w:rsidRPr="00F52DBC" w:rsidRDefault="00BF5273" w:rsidP="00A718E5">
            <w:pPr>
              <w:spacing w:after="120"/>
              <w:jc w:val="center"/>
              <w:rPr>
                <w:rFonts w:cs="Arial"/>
                <w:bCs/>
                <w:color w:val="FF0000"/>
                <w:sz w:val="20"/>
                <w:szCs w:val="20"/>
              </w:rPr>
            </w:pPr>
            <w:r w:rsidRPr="00F52DBC">
              <w:rPr>
                <w:rFonts w:cs="Arial"/>
                <w:bCs/>
                <w:color w:val="FF0000"/>
                <w:sz w:val="20"/>
                <w:szCs w:val="20"/>
              </w:rPr>
              <w:t>65</w:t>
            </w:r>
          </w:p>
        </w:tc>
      </w:tr>
    </w:tbl>
    <w:p w:rsidR="00BF5273" w:rsidRPr="00621BF1" w:rsidRDefault="00BF5273" w:rsidP="00BF5273">
      <w:pPr>
        <w:spacing w:after="120"/>
        <w:jc w:val="both"/>
        <w:rPr>
          <w:rFonts w:cs="Arial"/>
          <w:bCs/>
          <w:sz w:val="8"/>
        </w:rPr>
      </w:pPr>
    </w:p>
    <w:p w:rsidR="00BF5273" w:rsidRDefault="00BF5273" w:rsidP="00BF5273">
      <w:pPr>
        <w:spacing w:after="120"/>
        <w:jc w:val="both"/>
        <w:rPr>
          <w:rFonts w:cs="Arial"/>
          <w:bCs/>
        </w:rPr>
      </w:pPr>
      <w:r>
        <w:rPr>
          <w:rFonts w:cs="Arial"/>
          <w:bCs/>
        </w:rPr>
        <w:t xml:space="preserve">Durant les 7 dernières années, les couvertures vaccinales administratives en Penta3, après avoir connu un pic en 2013 (103%) a connu une baisse progressive passant de 91% en 2014 à 80% en 2015, puis une augmentation en 2016(119%) et 2017(94%).   </w:t>
      </w:r>
    </w:p>
    <w:p w:rsidR="00BF5273" w:rsidRPr="00621BF1" w:rsidRDefault="00BF5273" w:rsidP="00BF5273">
      <w:pPr>
        <w:spacing w:after="120"/>
        <w:jc w:val="both"/>
        <w:rPr>
          <w:rFonts w:cs="Arial"/>
          <w:bCs/>
        </w:rPr>
      </w:pPr>
      <w:r w:rsidRPr="00621BF1">
        <w:rPr>
          <w:rFonts w:cs="Arial"/>
          <w:bCs/>
        </w:rPr>
        <w:t>De 2011 à 201</w:t>
      </w:r>
      <w:r>
        <w:rPr>
          <w:rFonts w:cs="Arial"/>
          <w:bCs/>
        </w:rPr>
        <w:t>7</w:t>
      </w:r>
      <w:r w:rsidRPr="00621BF1">
        <w:rPr>
          <w:rFonts w:cs="Arial"/>
          <w:bCs/>
        </w:rPr>
        <w:t xml:space="preserve">, les couvertures administratives ont été nettement inférieures aux couvertures estimées d’au moins 10 points. Cette différence dénote une faible qualité des données. </w:t>
      </w:r>
    </w:p>
    <w:p w:rsidR="00BF5273" w:rsidRPr="00621BF1" w:rsidRDefault="00BF5273" w:rsidP="00BF5273">
      <w:pPr>
        <w:spacing w:after="120"/>
        <w:jc w:val="both"/>
        <w:rPr>
          <w:rFonts w:cs="Arial"/>
          <w:bCs/>
        </w:rPr>
      </w:pPr>
      <w:r>
        <w:rPr>
          <w:rFonts w:cs="Arial"/>
          <w:bCs/>
        </w:rPr>
        <w:t>L</w:t>
      </w:r>
      <w:r w:rsidRPr="00621BF1">
        <w:rPr>
          <w:rFonts w:cs="Arial"/>
          <w:bCs/>
        </w:rPr>
        <w:t>’enquête de couverture vaccinal</w:t>
      </w:r>
      <w:r>
        <w:rPr>
          <w:rFonts w:cs="Arial"/>
          <w:bCs/>
        </w:rPr>
        <w:t>e organisée 2016 (’MICS 2016)</w:t>
      </w:r>
      <w:r w:rsidRPr="00621BF1">
        <w:rPr>
          <w:rFonts w:cs="Arial"/>
          <w:bCs/>
        </w:rPr>
        <w:t xml:space="preserve">  a relevé les résultats beaucoup plus proches de ceux des estimations de l’OMS-UNICEF</w:t>
      </w:r>
      <w:r>
        <w:rPr>
          <w:rFonts w:cs="Arial"/>
          <w:bCs/>
        </w:rPr>
        <w:t xml:space="preserve"> et un écart de plus de 30% entre les couvertures administratives et celles de l’enquête</w:t>
      </w:r>
      <w:r w:rsidRPr="00621BF1">
        <w:rPr>
          <w:rFonts w:cs="Arial"/>
          <w:bCs/>
        </w:rPr>
        <w:t xml:space="preserve">. </w:t>
      </w:r>
    </w:p>
    <w:p w:rsidR="00BF5273" w:rsidRPr="00AC4632" w:rsidRDefault="00BF5273" w:rsidP="00BF5273">
      <w:pPr>
        <w:spacing w:after="120"/>
        <w:jc w:val="both"/>
        <w:rPr>
          <w:rFonts w:cs="Arial"/>
          <w:bCs/>
        </w:rPr>
      </w:pPr>
      <w:r w:rsidRPr="00AC4632">
        <w:rPr>
          <w:rFonts w:cs="Arial"/>
          <w:bCs/>
        </w:rPr>
        <w:t>Les résultants de l’enquête MICS 2016, en faisant référence au carnet de vaccination ou la déclaration de la mère, indique 72% des enfants de 12-23 mois ont reçu une vaccination par le BCG à l'âge de 12 mois. Le pourcentage recule pour n’atteindre que 50% pour la deuxième dose de DTC-</w:t>
      </w:r>
      <w:proofErr w:type="spellStart"/>
      <w:r w:rsidRPr="00AC4632">
        <w:rPr>
          <w:rFonts w:cs="Arial"/>
          <w:bCs/>
        </w:rPr>
        <w:t>HepB</w:t>
      </w:r>
      <w:proofErr w:type="spellEnd"/>
      <w:r w:rsidRPr="00AC4632">
        <w:rPr>
          <w:rFonts w:cs="Arial"/>
          <w:bCs/>
        </w:rPr>
        <w:t>-</w:t>
      </w:r>
      <w:proofErr w:type="spellStart"/>
      <w:r w:rsidRPr="00AC4632">
        <w:rPr>
          <w:rFonts w:cs="Arial"/>
          <w:bCs/>
        </w:rPr>
        <w:t>Hib</w:t>
      </w:r>
      <w:proofErr w:type="spellEnd"/>
      <w:r w:rsidRPr="00AC4632">
        <w:rPr>
          <w:rFonts w:cs="Arial"/>
          <w:bCs/>
        </w:rPr>
        <w:t xml:space="preserve"> et 40% pour la troisième dose. De même, 62% des enfants ont reçu le vaccin Polio 1 avant l</w:t>
      </w:r>
      <w:r w:rsidRPr="00AC4632">
        <w:rPr>
          <w:rFonts w:ascii="Arial" w:hAnsi="Arial" w:cs="Arial"/>
          <w:bCs/>
        </w:rPr>
        <w:t>’</w:t>
      </w:r>
      <w:r w:rsidRPr="00AC4632">
        <w:rPr>
          <w:rFonts w:cs="Gill Sans MT"/>
          <w:bCs/>
        </w:rPr>
        <w:t>â</w:t>
      </w:r>
      <w:r w:rsidRPr="00AC4632">
        <w:rPr>
          <w:rFonts w:cs="Arial"/>
          <w:bCs/>
        </w:rPr>
        <w:t xml:space="preserve">ge de 12 mois et ce taux fléchit pour se situer à 39% à la troisième dose. La couverture relative au vaccin contre la rougeole avant 12 mois est de 33 %. Le pourcentage d'enfants ayant reçu tous les vaccins recommandés avant leur deuxième anniversaire est faible, se situant à 26%. </w:t>
      </w:r>
    </w:p>
    <w:p w:rsidR="00BF5273" w:rsidRPr="00621BF1" w:rsidRDefault="00BF5273" w:rsidP="00BF5273">
      <w:pPr>
        <w:pStyle w:val="Lgende"/>
        <w:spacing w:after="120"/>
      </w:pPr>
    </w:p>
    <w:p w:rsidR="00BF5273" w:rsidRDefault="00BF5273" w:rsidP="00BF5273">
      <w:pPr>
        <w:pStyle w:val="Lgende"/>
      </w:pPr>
      <w:r>
        <w:t>Tableau6</w:t>
      </w:r>
      <w:r w:rsidRPr="00621BF1">
        <w:t>: Indicateurs des prestations de services 2011-201</w:t>
      </w:r>
      <w:r>
        <w:t>7</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1575"/>
        <w:gridCol w:w="893"/>
        <w:gridCol w:w="893"/>
        <w:gridCol w:w="893"/>
        <w:gridCol w:w="893"/>
        <w:gridCol w:w="893"/>
        <w:gridCol w:w="740"/>
        <w:gridCol w:w="796"/>
      </w:tblGrid>
      <w:tr w:rsidR="00BF5273" w:rsidRPr="00621BF1" w:rsidTr="00A718E5">
        <w:trPr>
          <w:tblHeader/>
        </w:trPr>
        <w:tc>
          <w:tcPr>
            <w:tcW w:w="2521" w:type="dxa"/>
            <w:shd w:val="clear" w:color="auto" w:fill="C45911" w:themeFill="accent2" w:themeFillShade="BF"/>
          </w:tcPr>
          <w:p w:rsidR="00BF5273" w:rsidRPr="00621BF1" w:rsidRDefault="00BF5273" w:rsidP="00A718E5">
            <w:pPr>
              <w:spacing w:after="120"/>
              <w:jc w:val="both"/>
              <w:rPr>
                <w:rFonts w:cs="Arial"/>
                <w:b/>
                <w:bCs/>
                <w:color w:val="FFFFFF" w:themeColor="background1"/>
              </w:rPr>
            </w:pPr>
            <w:r w:rsidRPr="00621BF1">
              <w:rPr>
                <w:rFonts w:cs="Arial"/>
                <w:b/>
                <w:bCs/>
                <w:color w:val="FFFFFF" w:themeColor="background1"/>
              </w:rPr>
              <w:t>Indicateurs</w:t>
            </w:r>
          </w:p>
        </w:tc>
        <w:tc>
          <w:tcPr>
            <w:tcW w:w="1582" w:type="dxa"/>
            <w:tcBorders>
              <w:bottom w:val="single" w:sz="4" w:space="0" w:color="auto"/>
            </w:tcBorders>
            <w:shd w:val="clear" w:color="auto" w:fill="C45911" w:themeFill="accent2" w:themeFillShade="BF"/>
          </w:tcPr>
          <w:p w:rsidR="00BF5273" w:rsidRPr="00621BF1" w:rsidRDefault="00BF5273" w:rsidP="00A718E5">
            <w:pPr>
              <w:spacing w:after="120"/>
              <w:jc w:val="both"/>
              <w:rPr>
                <w:rFonts w:cs="Arial"/>
                <w:b/>
                <w:bCs/>
                <w:color w:val="FFFFFF" w:themeColor="background1"/>
              </w:rPr>
            </w:pPr>
            <w:r w:rsidRPr="00621BF1">
              <w:rPr>
                <w:rFonts w:cs="Arial"/>
                <w:b/>
                <w:bCs/>
                <w:color w:val="FFFFFF" w:themeColor="background1"/>
              </w:rPr>
              <w:t>Catégories</w:t>
            </w:r>
          </w:p>
        </w:tc>
        <w:tc>
          <w:tcPr>
            <w:tcW w:w="897" w:type="dxa"/>
            <w:shd w:val="clear" w:color="auto" w:fill="C45911" w:themeFill="accent2" w:themeFillShade="BF"/>
          </w:tcPr>
          <w:p w:rsidR="00BF5273" w:rsidRPr="00621BF1" w:rsidRDefault="00BF5273" w:rsidP="00A718E5">
            <w:pPr>
              <w:spacing w:after="120"/>
              <w:jc w:val="both"/>
              <w:rPr>
                <w:rFonts w:cs="Arial"/>
                <w:b/>
                <w:bCs/>
                <w:color w:val="FFFFFF" w:themeColor="background1"/>
              </w:rPr>
            </w:pPr>
            <w:r w:rsidRPr="00621BF1">
              <w:rPr>
                <w:rFonts w:cs="Arial"/>
                <w:b/>
                <w:bCs/>
                <w:color w:val="FFFFFF" w:themeColor="background1"/>
              </w:rPr>
              <w:t>2011</w:t>
            </w:r>
          </w:p>
        </w:tc>
        <w:tc>
          <w:tcPr>
            <w:tcW w:w="897" w:type="dxa"/>
            <w:shd w:val="clear" w:color="auto" w:fill="C45911" w:themeFill="accent2" w:themeFillShade="BF"/>
          </w:tcPr>
          <w:p w:rsidR="00BF5273" w:rsidRPr="00621BF1" w:rsidRDefault="00BF5273" w:rsidP="00A718E5">
            <w:pPr>
              <w:spacing w:after="120"/>
              <w:jc w:val="both"/>
              <w:rPr>
                <w:rFonts w:cs="Arial"/>
                <w:b/>
                <w:bCs/>
                <w:color w:val="FFFFFF" w:themeColor="background1"/>
              </w:rPr>
            </w:pPr>
            <w:r w:rsidRPr="00621BF1">
              <w:rPr>
                <w:rFonts w:cs="Arial"/>
                <w:b/>
                <w:bCs/>
                <w:color w:val="FFFFFF" w:themeColor="background1"/>
              </w:rPr>
              <w:t>2012</w:t>
            </w:r>
          </w:p>
        </w:tc>
        <w:tc>
          <w:tcPr>
            <w:tcW w:w="897" w:type="dxa"/>
            <w:shd w:val="clear" w:color="auto" w:fill="C45911" w:themeFill="accent2" w:themeFillShade="BF"/>
          </w:tcPr>
          <w:p w:rsidR="00BF5273" w:rsidRPr="00621BF1" w:rsidRDefault="00BF5273" w:rsidP="00A718E5">
            <w:pPr>
              <w:spacing w:after="120"/>
              <w:jc w:val="both"/>
              <w:rPr>
                <w:rFonts w:cs="Arial"/>
                <w:b/>
                <w:bCs/>
                <w:color w:val="FFFFFF" w:themeColor="background1"/>
              </w:rPr>
            </w:pPr>
            <w:r w:rsidRPr="00621BF1">
              <w:rPr>
                <w:rFonts w:cs="Arial"/>
                <w:b/>
                <w:bCs/>
                <w:color w:val="FFFFFF" w:themeColor="background1"/>
              </w:rPr>
              <w:t>2013</w:t>
            </w:r>
          </w:p>
        </w:tc>
        <w:tc>
          <w:tcPr>
            <w:tcW w:w="897" w:type="dxa"/>
            <w:shd w:val="clear" w:color="auto" w:fill="C45911" w:themeFill="accent2" w:themeFillShade="BF"/>
          </w:tcPr>
          <w:p w:rsidR="00BF5273" w:rsidRPr="00621BF1" w:rsidRDefault="00BF5273" w:rsidP="00A718E5">
            <w:pPr>
              <w:spacing w:after="120"/>
              <w:jc w:val="both"/>
              <w:rPr>
                <w:rFonts w:cs="Arial"/>
                <w:b/>
                <w:bCs/>
                <w:color w:val="FFFFFF" w:themeColor="background1"/>
              </w:rPr>
            </w:pPr>
            <w:r w:rsidRPr="00621BF1">
              <w:rPr>
                <w:rFonts w:cs="Arial"/>
                <w:b/>
                <w:bCs/>
                <w:color w:val="FFFFFF" w:themeColor="background1"/>
              </w:rPr>
              <w:t>2014</w:t>
            </w:r>
          </w:p>
        </w:tc>
        <w:tc>
          <w:tcPr>
            <w:tcW w:w="897" w:type="dxa"/>
            <w:shd w:val="clear" w:color="auto" w:fill="C45911" w:themeFill="accent2" w:themeFillShade="BF"/>
          </w:tcPr>
          <w:p w:rsidR="00BF5273" w:rsidRPr="00621BF1" w:rsidRDefault="00BF5273" w:rsidP="00A718E5">
            <w:pPr>
              <w:spacing w:after="120"/>
              <w:jc w:val="both"/>
              <w:rPr>
                <w:rFonts w:cs="Arial"/>
                <w:b/>
                <w:bCs/>
                <w:color w:val="FFFFFF" w:themeColor="background1"/>
              </w:rPr>
            </w:pPr>
            <w:r w:rsidRPr="00621BF1">
              <w:rPr>
                <w:rFonts w:cs="Arial"/>
                <w:b/>
                <w:bCs/>
                <w:color w:val="FFFFFF" w:themeColor="background1"/>
              </w:rPr>
              <w:t>2015</w:t>
            </w:r>
          </w:p>
        </w:tc>
        <w:tc>
          <w:tcPr>
            <w:tcW w:w="741" w:type="dxa"/>
            <w:shd w:val="clear" w:color="auto" w:fill="C45911" w:themeFill="accent2" w:themeFillShade="BF"/>
          </w:tcPr>
          <w:p w:rsidR="00BF5273" w:rsidRPr="00621BF1" w:rsidRDefault="00BF5273" w:rsidP="00A718E5">
            <w:pPr>
              <w:spacing w:after="120"/>
              <w:jc w:val="both"/>
              <w:rPr>
                <w:rFonts w:cs="Arial"/>
                <w:b/>
                <w:bCs/>
                <w:color w:val="FFFFFF" w:themeColor="background1"/>
              </w:rPr>
            </w:pPr>
            <w:r>
              <w:rPr>
                <w:rFonts w:cs="Arial"/>
                <w:b/>
                <w:bCs/>
                <w:color w:val="FFFFFF" w:themeColor="background1"/>
              </w:rPr>
              <w:t>2016</w:t>
            </w:r>
          </w:p>
        </w:tc>
        <w:tc>
          <w:tcPr>
            <w:tcW w:w="741" w:type="dxa"/>
            <w:shd w:val="clear" w:color="auto" w:fill="C45911" w:themeFill="accent2" w:themeFillShade="BF"/>
          </w:tcPr>
          <w:p w:rsidR="00BF5273" w:rsidRPr="00621BF1" w:rsidRDefault="00BF5273" w:rsidP="00A718E5">
            <w:pPr>
              <w:spacing w:after="120"/>
              <w:jc w:val="both"/>
              <w:rPr>
                <w:rFonts w:cs="Arial"/>
                <w:b/>
                <w:bCs/>
                <w:color w:val="FFFFFF" w:themeColor="background1"/>
              </w:rPr>
            </w:pPr>
            <w:r>
              <w:rPr>
                <w:rFonts w:cs="Arial"/>
                <w:b/>
                <w:bCs/>
                <w:color w:val="FFFFFF" w:themeColor="background1"/>
              </w:rPr>
              <w:t>2017</w:t>
            </w:r>
          </w:p>
        </w:tc>
      </w:tr>
      <w:tr w:rsidR="00BF5273" w:rsidRPr="00AD4646" w:rsidTr="00A718E5">
        <w:tc>
          <w:tcPr>
            <w:tcW w:w="2521" w:type="dxa"/>
          </w:tcPr>
          <w:p w:rsidR="00BF5273" w:rsidRPr="00621BF1" w:rsidRDefault="00BF5273" w:rsidP="00A718E5">
            <w:pPr>
              <w:spacing w:after="120"/>
              <w:jc w:val="both"/>
              <w:rPr>
                <w:rFonts w:cs="Arial"/>
                <w:sz w:val="20"/>
              </w:rPr>
            </w:pPr>
            <w:r w:rsidRPr="00621BF1">
              <w:rPr>
                <w:rFonts w:cs="Arial"/>
                <w:sz w:val="20"/>
              </w:rPr>
              <w:t>% DS avec taux d’abandon DTC1-3 &gt; 10%</w:t>
            </w:r>
          </w:p>
        </w:tc>
        <w:tc>
          <w:tcPr>
            <w:tcW w:w="1582" w:type="dxa"/>
            <w:vMerge w:val="restart"/>
            <w:shd w:val="clear" w:color="auto" w:fill="D9D9D9"/>
          </w:tcPr>
          <w:p w:rsidR="00BF5273" w:rsidRPr="00621BF1" w:rsidRDefault="00BF5273" w:rsidP="00A718E5">
            <w:pPr>
              <w:spacing w:after="120"/>
              <w:jc w:val="both"/>
              <w:rPr>
                <w:rFonts w:cs="Arial"/>
                <w:sz w:val="20"/>
              </w:rPr>
            </w:pPr>
          </w:p>
        </w:tc>
        <w:tc>
          <w:tcPr>
            <w:tcW w:w="897" w:type="dxa"/>
          </w:tcPr>
          <w:p w:rsidR="00BF5273" w:rsidRPr="00621BF1" w:rsidRDefault="00BF5273" w:rsidP="00A718E5">
            <w:pPr>
              <w:spacing w:after="120"/>
              <w:jc w:val="center"/>
              <w:rPr>
                <w:rFonts w:cs="Arial"/>
                <w:sz w:val="20"/>
              </w:rPr>
            </w:pPr>
            <w:r w:rsidRPr="00621BF1">
              <w:rPr>
                <w:rFonts w:cs="Arial"/>
                <w:sz w:val="20"/>
              </w:rPr>
              <w:t>32%</w:t>
            </w:r>
          </w:p>
        </w:tc>
        <w:tc>
          <w:tcPr>
            <w:tcW w:w="897" w:type="dxa"/>
          </w:tcPr>
          <w:p w:rsidR="00BF5273" w:rsidRPr="00621BF1" w:rsidRDefault="00BF5273" w:rsidP="00A718E5">
            <w:pPr>
              <w:spacing w:after="120"/>
              <w:jc w:val="center"/>
              <w:rPr>
                <w:rFonts w:cs="Arial"/>
                <w:sz w:val="20"/>
              </w:rPr>
            </w:pPr>
            <w:r w:rsidRPr="00621BF1">
              <w:rPr>
                <w:rFonts w:cs="Arial"/>
                <w:sz w:val="20"/>
              </w:rPr>
              <w:t>18%</w:t>
            </w:r>
          </w:p>
        </w:tc>
        <w:tc>
          <w:tcPr>
            <w:tcW w:w="897" w:type="dxa"/>
          </w:tcPr>
          <w:p w:rsidR="00BF5273" w:rsidRPr="00621BF1" w:rsidRDefault="00BF5273" w:rsidP="00A718E5">
            <w:pPr>
              <w:spacing w:after="120"/>
              <w:jc w:val="center"/>
              <w:rPr>
                <w:rFonts w:cs="Arial"/>
                <w:sz w:val="20"/>
              </w:rPr>
            </w:pPr>
            <w:r w:rsidRPr="00621BF1">
              <w:rPr>
                <w:rFonts w:cs="Arial"/>
                <w:sz w:val="20"/>
              </w:rPr>
              <w:t>ND</w:t>
            </w:r>
          </w:p>
        </w:tc>
        <w:tc>
          <w:tcPr>
            <w:tcW w:w="897" w:type="dxa"/>
          </w:tcPr>
          <w:p w:rsidR="00BF5273" w:rsidRPr="00621BF1" w:rsidRDefault="00BF5273" w:rsidP="00A718E5">
            <w:pPr>
              <w:spacing w:after="120"/>
              <w:jc w:val="center"/>
              <w:rPr>
                <w:rFonts w:cs="Arial"/>
                <w:sz w:val="20"/>
              </w:rPr>
            </w:pPr>
            <w:r w:rsidRPr="00621BF1">
              <w:rPr>
                <w:rFonts w:cs="Arial"/>
                <w:sz w:val="20"/>
              </w:rPr>
              <w:t>26%</w:t>
            </w:r>
          </w:p>
        </w:tc>
        <w:tc>
          <w:tcPr>
            <w:tcW w:w="897" w:type="dxa"/>
          </w:tcPr>
          <w:p w:rsidR="00BF5273" w:rsidRPr="00621BF1" w:rsidRDefault="00BF5273" w:rsidP="00A718E5">
            <w:pPr>
              <w:spacing w:after="120"/>
              <w:jc w:val="center"/>
              <w:rPr>
                <w:rFonts w:cs="Arial"/>
                <w:sz w:val="20"/>
              </w:rPr>
            </w:pPr>
            <w:r w:rsidRPr="00621BF1">
              <w:rPr>
                <w:rFonts w:cs="Arial"/>
                <w:sz w:val="20"/>
              </w:rPr>
              <w:t>58%</w:t>
            </w:r>
          </w:p>
        </w:tc>
        <w:tc>
          <w:tcPr>
            <w:tcW w:w="741" w:type="dxa"/>
          </w:tcPr>
          <w:p w:rsidR="00BF5273" w:rsidRPr="00AD4646" w:rsidRDefault="00BF5273" w:rsidP="00A718E5">
            <w:pPr>
              <w:spacing w:after="120"/>
              <w:jc w:val="center"/>
              <w:rPr>
                <w:rFonts w:cs="Arial"/>
                <w:color w:val="00B050"/>
                <w:sz w:val="20"/>
              </w:rPr>
            </w:pPr>
            <w:r w:rsidRPr="00AD4646">
              <w:rPr>
                <w:rFonts w:cs="Arial"/>
                <w:color w:val="00B050"/>
                <w:sz w:val="20"/>
              </w:rPr>
              <w:t>37%</w:t>
            </w:r>
          </w:p>
        </w:tc>
        <w:tc>
          <w:tcPr>
            <w:tcW w:w="741" w:type="dxa"/>
          </w:tcPr>
          <w:p w:rsidR="00BF5273" w:rsidRPr="00AD4646" w:rsidRDefault="00BF5273" w:rsidP="00A718E5">
            <w:pPr>
              <w:spacing w:after="120"/>
              <w:jc w:val="center"/>
              <w:rPr>
                <w:rFonts w:cs="Arial"/>
                <w:color w:val="00B050"/>
                <w:sz w:val="20"/>
              </w:rPr>
            </w:pPr>
            <w:r w:rsidRPr="00AD4646">
              <w:rPr>
                <w:rFonts w:cs="Arial"/>
                <w:color w:val="00B050"/>
                <w:sz w:val="20"/>
              </w:rPr>
              <w:t>34,21%</w:t>
            </w:r>
          </w:p>
        </w:tc>
      </w:tr>
      <w:tr w:rsidR="00BF5273" w:rsidRPr="00AD4646" w:rsidTr="00A718E5">
        <w:tc>
          <w:tcPr>
            <w:tcW w:w="2521" w:type="dxa"/>
          </w:tcPr>
          <w:p w:rsidR="00BF5273" w:rsidRPr="00621BF1" w:rsidRDefault="00BF5273" w:rsidP="00A718E5">
            <w:pPr>
              <w:spacing w:after="120"/>
              <w:jc w:val="both"/>
              <w:rPr>
                <w:rFonts w:cs="Arial"/>
                <w:sz w:val="20"/>
              </w:rPr>
            </w:pPr>
            <w:r w:rsidRPr="00621BF1">
              <w:rPr>
                <w:rFonts w:cs="Arial"/>
                <w:sz w:val="20"/>
              </w:rPr>
              <w:t>Taux d’abandon global</w:t>
            </w:r>
          </w:p>
        </w:tc>
        <w:tc>
          <w:tcPr>
            <w:tcW w:w="1582" w:type="dxa"/>
            <w:vMerge/>
            <w:shd w:val="clear" w:color="auto" w:fill="D9D9D9"/>
          </w:tcPr>
          <w:p w:rsidR="00BF5273" w:rsidRPr="00621BF1" w:rsidRDefault="00BF5273" w:rsidP="00A718E5">
            <w:pPr>
              <w:spacing w:after="120"/>
              <w:jc w:val="both"/>
              <w:rPr>
                <w:rFonts w:cs="Arial"/>
                <w:sz w:val="20"/>
              </w:rPr>
            </w:pPr>
          </w:p>
        </w:tc>
        <w:tc>
          <w:tcPr>
            <w:tcW w:w="897" w:type="dxa"/>
          </w:tcPr>
          <w:p w:rsidR="00BF5273" w:rsidRPr="00621BF1" w:rsidRDefault="00BF5273" w:rsidP="00A718E5">
            <w:pPr>
              <w:spacing w:after="120"/>
              <w:jc w:val="center"/>
              <w:rPr>
                <w:rFonts w:cs="Arial"/>
                <w:sz w:val="20"/>
              </w:rPr>
            </w:pPr>
            <w:r w:rsidRPr="00621BF1">
              <w:rPr>
                <w:rFonts w:cs="Arial"/>
                <w:sz w:val="20"/>
              </w:rPr>
              <w:t>8%</w:t>
            </w:r>
          </w:p>
        </w:tc>
        <w:tc>
          <w:tcPr>
            <w:tcW w:w="897" w:type="dxa"/>
          </w:tcPr>
          <w:p w:rsidR="00BF5273" w:rsidRPr="00621BF1" w:rsidRDefault="00BF5273" w:rsidP="00A718E5">
            <w:pPr>
              <w:spacing w:after="120"/>
              <w:jc w:val="center"/>
              <w:rPr>
                <w:rFonts w:cs="Arial"/>
                <w:sz w:val="20"/>
              </w:rPr>
            </w:pPr>
            <w:r w:rsidRPr="00621BF1">
              <w:rPr>
                <w:rFonts w:cs="Arial"/>
                <w:sz w:val="20"/>
              </w:rPr>
              <w:t>7%</w:t>
            </w:r>
          </w:p>
        </w:tc>
        <w:tc>
          <w:tcPr>
            <w:tcW w:w="897" w:type="dxa"/>
          </w:tcPr>
          <w:p w:rsidR="00BF5273" w:rsidRPr="00621BF1" w:rsidRDefault="00BF5273" w:rsidP="00A718E5">
            <w:pPr>
              <w:spacing w:after="120"/>
              <w:jc w:val="center"/>
              <w:rPr>
                <w:rFonts w:cs="Arial"/>
                <w:sz w:val="20"/>
              </w:rPr>
            </w:pPr>
            <w:r>
              <w:rPr>
                <w:rFonts w:cs="Arial"/>
                <w:sz w:val="20"/>
              </w:rPr>
              <w:t>ND</w:t>
            </w:r>
          </w:p>
        </w:tc>
        <w:tc>
          <w:tcPr>
            <w:tcW w:w="897" w:type="dxa"/>
          </w:tcPr>
          <w:p w:rsidR="00BF5273" w:rsidRPr="00621BF1" w:rsidRDefault="00BF5273" w:rsidP="00A718E5">
            <w:pPr>
              <w:spacing w:after="120"/>
              <w:jc w:val="center"/>
              <w:rPr>
                <w:rFonts w:cs="Arial"/>
                <w:sz w:val="20"/>
              </w:rPr>
            </w:pPr>
            <w:r w:rsidRPr="00621BF1">
              <w:rPr>
                <w:rFonts w:cs="Arial"/>
                <w:sz w:val="20"/>
              </w:rPr>
              <w:t>4%</w:t>
            </w:r>
          </w:p>
        </w:tc>
        <w:tc>
          <w:tcPr>
            <w:tcW w:w="897" w:type="dxa"/>
          </w:tcPr>
          <w:p w:rsidR="00BF5273" w:rsidRPr="00621BF1" w:rsidRDefault="00BF5273" w:rsidP="00A718E5">
            <w:pPr>
              <w:spacing w:after="120"/>
              <w:jc w:val="center"/>
              <w:rPr>
                <w:rFonts w:cs="Arial"/>
                <w:sz w:val="20"/>
              </w:rPr>
            </w:pPr>
            <w:r w:rsidRPr="00621BF1">
              <w:rPr>
                <w:rFonts w:cs="Arial"/>
                <w:sz w:val="20"/>
              </w:rPr>
              <w:t xml:space="preserve">4% </w:t>
            </w:r>
          </w:p>
        </w:tc>
        <w:tc>
          <w:tcPr>
            <w:tcW w:w="741" w:type="dxa"/>
          </w:tcPr>
          <w:p w:rsidR="00BF5273" w:rsidRPr="00AD4646" w:rsidRDefault="00BF5273" w:rsidP="00A718E5">
            <w:pPr>
              <w:spacing w:after="120"/>
              <w:jc w:val="center"/>
              <w:rPr>
                <w:rFonts w:cs="Arial"/>
                <w:color w:val="00B050"/>
                <w:sz w:val="20"/>
              </w:rPr>
            </w:pPr>
            <w:r w:rsidRPr="00AD4646">
              <w:rPr>
                <w:rFonts w:cs="Arial"/>
                <w:color w:val="00B050"/>
                <w:sz w:val="20"/>
              </w:rPr>
              <w:t>7%</w:t>
            </w:r>
          </w:p>
        </w:tc>
        <w:tc>
          <w:tcPr>
            <w:tcW w:w="741" w:type="dxa"/>
          </w:tcPr>
          <w:p w:rsidR="00BF5273" w:rsidRPr="00AD4646" w:rsidRDefault="00BF5273" w:rsidP="00A718E5">
            <w:pPr>
              <w:spacing w:after="120"/>
              <w:jc w:val="center"/>
              <w:rPr>
                <w:rFonts w:cs="Arial"/>
                <w:color w:val="00B050"/>
                <w:sz w:val="20"/>
              </w:rPr>
            </w:pPr>
            <w:r w:rsidRPr="00AD4646">
              <w:rPr>
                <w:rFonts w:cs="Arial"/>
                <w:color w:val="00B050"/>
                <w:sz w:val="20"/>
              </w:rPr>
              <w:t>7%</w:t>
            </w:r>
          </w:p>
        </w:tc>
      </w:tr>
      <w:tr w:rsidR="00BF5273" w:rsidRPr="00AD4646" w:rsidTr="00A718E5">
        <w:tc>
          <w:tcPr>
            <w:tcW w:w="2521" w:type="dxa"/>
          </w:tcPr>
          <w:p w:rsidR="00BF5273" w:rsidRPr="00621BF1" w:rsidRDefault="00BF5273" w:rsidP="00A718E5">
            <w:pPr>
              <w:spacing w:after="120"/>
              <w:jc w:val="both"/>
              <w:rPr>
                <w:rFonts w:cs="Arial"/>
                <w:sz w:val="20"/>
              </w:rPr>
            </w:pPr>
            <w:r w:rsidRPr="00621BF1">
              <w:rPr>
                <w:rFonts w:cs="Arial"/>
                <w:sz w:val="20"/>
              </w:rPr>
              <w:lastRenderedPageBreak/>
              <w:t>Complétude des districts</w:t>
            </w:r>
          </w:p>
        </w:tc>
        <w:tc>
          <w:tcPr>
            <w:tcW w:w="1582" w:type="dxa"/>
            <w:vMerge/>
            <w:shd w:val="clear" w:color="auto" w:fill="D9D9D9"/>
          </w:tcPr>
          <w:p w:rsidR="00BF5273" w:rsidRPr="00621BF1" w:rsidRDefault="00BF5273" w:rsidP="00A718E5">
            <w:pPr>
              <w:spacing w:after="120"/>
              <w:jc w:val="both"/>
              <w:rPr>
                <w:rFonts w:cs="Arial"/>
                <w:sz w:val="20"/>
              </w:rPr>
            </w:pPr>
          </w:p>
        </w:tc>
        <w:tc>
          <w:tcPr>
            <w:tcW w:w="897" w:type="dxa"/>
          </w:tcPr>
          <w:p w:rsidR="00BF5273" w:rsidRPr="00621BF1" w:rsidRDefault="00BF5273" w:rsidP="00A718E5">
            <w:pPr>
              <w:spacing w:after="120"/>
              <w:jc w:val="center"/>
              <w:rPr>
                <w:rFonts w:cs="Arial"/>
                <w:sz w:val="20"/>
              </w:rPr>
            </w:pPr>
            <w:r w:rsidRPr="00621BF1">
              <w:rPr>
                <w:rFonts w:cs="Arial"/>
                <w:sz w:val="20"/>
              </w:rPr>
              <w:t>100%</w:t>
            </w:r>
          </w:p>
        </w:tc>
        <w:tc>
          <w:tcPr>
            <w:tcW w:w="897" w:type="dxa"/>
          </w:tcPr>
          <w:p w:rsidR="00BF5273" w:rsidRPr="00621BF1" w:rsidRDefault="00BF5273" w:rsidP="00A718E5">
            <w:pPr>
              <w:spacing w:after="120"/>
              <w:jc w:val="center"/>
              <w:rPr>
                <w:rFonts w:cs="Arial"/>
                <w:sz w:val="20"/>
              </w:rPr>
            </w:pPr>
            <w:r w:rsidRPr="00621BF1">
              <w:rPr>
                <w:rFonts w:cs="Arial"/>
                <w:sz w:val="20"/>
              </w:rPr>
              <w:t>100%</w:t>
            </w:r>
          </w:p>
        </w:tc>
        <w:tc>
          <w:tcPr>
            <w:tcW w:w="897" w:type="dxa"/>
          </w:tcPr>
          <w:p w:rsidR="00BF5273" w:rsidRPr="00621BF1" w:rsidRDefault="00BF5273" w:rsidP="00A718E5">
            <w:pPr>
              <w:spacing w:after="120"/>
              <w:jc w:val="center"/>
              <w:rPr>
                <w:rFonts w:cs="Arial"/>
                <w:sz w:val="20"/>
              </w:rPr>
            </w:pPr>
            <w:r w:rsidRPr="00621BF1">
              <w:rPr>
                <w:rFonts w:cs="Arial"/>
                <w:sz w:val="20"/>
              </w:rPr>
              <w:t>100%</w:t>
            </w:r>
          </w:p>
        </w:tc>
        <w:tc>
          <w:tcPr>
            <w:tcW w:w="897" w:type="dxa"/>
          </w:tcPr>
          <w:p w:rsidR="00BF5273" w:rsidRPr="00621BF1" w:rsidRDefault="00BF5273" w:rsidP="00A718E5">
            <w:pPr>
              <w:spacing w:after="120"/>
              <w:jc w:val="center"/>
              <w:rPr>
                <w:rFonts w:cs="Arial"/>
                <w:sz w:val="20"/>
              </w:rPr>
            </w:pPr>
            <w:r w:rsidRPr="00621BF1">
              <w:rPr>
                <w:rFonts w:cs="Arial"/>
                <w:sz w:val="20"/>
              </w:rPr>
              <w:t>100%</w:t>
            </w:r>
          </w:p>
        </w:tc>
        <w:tc>
          <w:tcPr>
            <w:tcW w:w="897" w:type="dxa"/>
          </w:tcPr>
          <w:p w:rsidR="00BF5273" w:rsidRPr="00621BF1" w:rsidRDefault="00BF5273" w:rsidP="00A718E5">
            <w:pPr>
              <w:spacing w:after="120"/>
              <w:jc w:val="center"/>
              <w:rPr>
                <w:rFonts w:cs="Arial"/>
                <w:sz w:val="20"/>
              </w:rPr>
            </w:pPr>
            <w:r w:rsidRPr="00621BF1">
              <w:rPr>
                <w:rFonts w:cs="Arial"/>
                <w:sz w:val="20"/>
              </w:rPr>
              <w:t xml:space="preserve">100% </w:t>
            </w:r>
          </w:p>
        </w:tc>
        <w:tc>
          <w:tcPr>
            <w:tcW w:w="741" w:type="dxa"/>
          </w:tcPr>
          <w:p w:rsidR="00BF5273" w:rsidRPr="00AD4646" w:rsidRDefault="00BF5273" w:rsidP="00A718E5">
            <w:pPr>
              <w:spacing w:after="120"/>
              <w:jc w:val="center"/>
              <w:rPr>
                <w:rFonts w:cs="Arial"/>
                <w:color w:val="00B050"/>
                <w:sz w:val="20"/>
              </w:rPr>
            </w:pPr>
            <w:r w:rsidRPr="00AD4646">
              <w:rPr>
                <w:rFonts w:cs="Arial"/>
                <w:color w:val="00B050"/>
                <w:sz w:val="20"/>
              </w:rPr>
              <w:t>100%</w:t>
            </w:r>
          </w:p>
        </w:tc>
        <w:tc>
          <w:tcPr>
            <w:tcW w:w="741" w:type="dxa"/>
          </w:tcPr>
          <w:p w:rsidR="00BF5273" w:rsidRPr="00AD4646" w:rsidRDefault="00BF5273" w:rsidP="00A718E5">
            <w:pPr>
              <w:spacing w:after="120"/>
              <w:jc w:val="center"/>
              <w:rPr>
                <w:rFonts w:cs="Arial"/>
                <w:color w:val="00B050"/>
                <w:sz w:val="20"/>
              </w:rPr>
            </w:pPr>
            <w:r w:rsidRPr="00AD4646">
              <w:rPr>
                <w:rFonts w:cs="Arial"/>
                <w:color w:val="00B050"/>
                <w:sz w:val="20"/>
              </w:rPr>
              <w:t>100%</w:t>
            </w:r>
          </w:p>
        </w:tc>
      </w:tr>
      <w:tr w:rsidR="00BF5273" w:rsidRPr="00AD4646" w:rsidTr="00A718E5">
        <w:tc>
          <w:tcPr>
            <w:tcW w:w="2521" w:type="dxa"/>
            <w:vMerge w:val="restart"/>
            <w:vAlign w:val="center"/>
          </w:tcPr>
          <w:p w:rsidR="00BF5273" w:rsidRPr="00621BF1" w:rsidRDefault="00BF5273" w:rsidP="00A718E5">
            <w:pPr>
              <w:spacing w:after="120"/>
              <w:rPr>
                <w:rFonts w:cs="Arial"/>
                <w:sz w:val="20"/>
              </w:rPr>
            </w:pPr>
            <w:r w:rsidRPr="00621BF1">
              <w:rPr>
                <w:rFonts w:cs="Arial"/>
                <w:sz w:val="20"/>
              </w:rPr>
              <w:t>Performances des Districts sanitaires  en couverture  DTC 3</w:t>
            </w:r>
          </w:p>
        </w:tc>
        <w:tc>
          <w:tcPr>
            <w:tcW w:w="1582" w:type="dxa"/>
          </w:tcPr>
          <w:p w:rsidR="00BF5273" w:rsidRPr="00621BF1" w:rsidRDefault="00BF5273" w:rsidP="00A718E5">
            <w:pPr>
              <w:spacing w:after="120"/>
              <w:jc w:val="both"/>
              <w:rPr>
                <w:rFonts w:cs="Arial"/>
                <w:sz w:val="20"/>
              </w:rPr>
            </w:pPr>
            <w:r w:rsidRPr="00621BF1">
              <w:rPr>
                <w:rFonts w:cs="Arial"/>
                <w:sz w:val="20"/>
              </w:rPr>
              <w:t>Moins de 50%</w:t>
            </w:r>
          </w:p>
        </w:tc>
        <w:tc>
          <w:tcPr>
            <w:tcW w:w="897" w:type="dxa"/>
          </w:tcPr>
          <w:p w:rsidR="00BF5273" w:rsidRPr="00621BF1" w:rsidRDefault="00BF5273" w:rsidP="00A718E5">
            <w:pPr>
              <w:spacing w:after="120"/>
              <w:jc w:val="center"/>
              <w:rPr>
                <w:rFonts w:cs="Arial"/>
                <w:sz w:val="20"/>
              </w:rPr>
            </w:pPr>
            <w:r w:rsidRPr="00621BF1">
              <w:rPr>
                <w:rFonts w:cs="Arial"/>
                <w:sz w:val="20"/>
              </w:rPr>
              <w:t>0</w:t>
            </w:r>
          </w:p>
        </w:tc>
        <w:tc>
          <w:tcPr>
            <w:tcW w:w="897" w:type="dxa"/>
          </w:tcPr>
          <w:p w:rsidR="00BF5273" w:rsidRPr="00621BF1" w:rsidRDefault="00BF5273" w:rsidP="00A718E5">
            <w:pPr>
              <w:spacing w:after="120"/>
              <w:jc w:val="center"/>
              <w:rPr>
                <w:rFonts w:cs="Arial"/>
                <w:sz w:val="20"/>
              </w:rPr>
            </w:pPr>
            <w:r w:rsidRPr="00621BF1">
              <w:rPr>
                <w:rFonts w:cs="Arial"/>
                <w:sz w:val="20"/>
              </w:rPr>
              <w:t>0</w:t>
            </w:r>
          </w:p>
        </w:tc>
        <w:tc>
          <w:tcPr>
            <w:tcW w:w="897" w:type="dxa"/>
          </w:tcPr>
          <w:p w:rsidR="00BF5273" w:rsidRPr="00621BF1" w:rsidRDefault="00BF5273" w:rsidP="00A718E5">
            <w:pPr>
              <w:spacing w:after="120"/>
              <w:jc w:val="center"/>
              <w:rPr>
                <w:rFonts w:cs="Arial"/>
                <w:sz w:val="20"/>
              </w:rPr>
            </w:pPr>
            <w:r w:rsidRPr="00621BF1">
              <w:rPr>
                <w:rFonts w:cs="Arial"/>
                <w:sz w:val="20"/>
              </w:rPr>
              <w:t>0</w:t>
            </w:r>
          </w:p>
        </w:tc>
        <w:tc>
          <w:tcPr>
            <w:tcW w:w="897" w:type="dxa"/>
          </w:tcPr>
          <w:p w:rsidR="00BF5273" w:rsidRPr="00621BF1" w:rsidRDefault="00BF5273" w:rsidP="00A718E5">
            <w:pPr>
              <w:spacing w:after="120"/>
              <w:jc w:val="center"/>
              <w:rPr>
                <w:rFonts w:cs="Arial"/>
                <w:sz w:val="20"/>
              </w:rPr>
            </w:pPr>
            <w:r w:rsidRPr="00621BF1">
              <w:rPr>
                <w:rFonts w:cs="Arial"/>
                <w:sz w:val="20"/>
              </w:rPr>
              <w:t>1</w:t>
            </w:r>
          </w:p>
        </w:tc>
        <w:tc>
          <w:tcPr>
            <w:tcW w:w="897" w:type="dxa"/>
          </w:tcPr>
          <w:p w:rsidR="00BF5273" w:rsidRPr="00621BF1" w:rsidRDefault="00BF5273" w:rsidP="00A718E5">
            <w:pPr>
              <w:spacing w:after="120"/>
              <w:jc w:val="center"/>
              <w:rPr>
                <w:rFonts w:cs="Arial"/>
                <w:sz w:val="20"/>
              </w:rPr>
            </w:pPr>
            <w:r w:rsidRPr="00621BF1">
              <w:rPr>
                <w:rFonts w:cs="Arial"/>
                <w:sz w:val="20"/>
              </w:rPr>
              <w:t>1</w:t>
            </w:r>
          </w:p>
        </w:tc>
        <w:tc>
          <w:tcPr>
            <w:tcW w:w="741" w:type="dxa"/>
          </w:tcPr>
          <w:p w:rsidR="00BF5273" w:rsidRPr="00AD4646" w:rsidRDefault="00BF5273" w:rsidP="00A718E5">
            <w:pPr>
              <w:spacing w:after="120"/>
              <w:jc w:val="center"/>
              <w:rPr>
                <w:rFonts w:cs="Arial"/>
                <w:color w:val="00B050"/>
                <w:sz w:val="20"/>
              </w:rPr>
            </w:pPr>
            <w:r w:rsidRPr="00AD4646">
              <w:rPr>
                <w:rFonts w:cs="Arial"/>
                <w:color w:val="00B050"/>
                <w:sz w:val="20"/>
              </w:rPr>
              <w:t>0</w:t>
            </w:r>
          </w:p>
        </w:tc>
        <w:tc>
          <w:tcPr>
            <w:tcW w:w="741" w:type="dxa"/>
          </w:tcPr>
          <w:p w:rsidR="00BF5273" w:rsidRPr="00AD4646" w:rsidRDefault="00BF5273" w:rsidP="00A718E5">
            <w:pPr>
              <w:spacing w:after="120"/>
              <w:jc w:val="center"/>
              <w:rPr>
                <w:rFonts w:cs="Arial"/>
                <w:color w:val="00B050"/>
                <w:sz w:val="20"/>
              </w:rPr>
            </w:pPr>
            <w:r w:rsidRPr="00AD4646">
              <w:rPr>
                <w:rFonts w:cs="Arial"/>
                <w:color w:val="00B050"/>
                <w:sz w:val="20"/>
              </w:rPr>
              <w:t>0</w:t>
            </w:r>
          </w:p>
        </w:tc>
      </w:tr>
      <w:tr w:rsidR="00BF5273" w:rsidRPr="006C6738" w:rsidTr="00A718E5">
        <w:tc>
          <w:tcPr>
            <w:tcW w:w="2521" w:type="dxa"/>
            <w:vMerge/>
          </w:tcPr>
          <w:p w:rsidR="00BF5273" w:rsidRPr="00621BF1" w:rsidRDefault="00BF5273" w:rsidP="00A718E5">
            <w:pPr>
              <w:spacing w:after="120"/>
              <w:jc w:val="both"/>
              <w:rPr>
                <w:rFonts w:cs="Arial"/>
                <w:sz w:val="20"/>
              </w:rPr>
            </w:pPr>
          </w:p>
        </w:tc>
        <w:tc>
          <w:tcPr>
            <w:tcW w:w="1582" w:type="dxa"/>
          </w:tcPr>
          <w:p w:rsidR="00BF5273" w:rsidRPr="00621BF1" w:rsidRDefault="00BF5273" w:rsidP="00A718E5">
            <w:pPr>
              <w:spacing w:after="120"/>
              <w:jc w:val="both"/>
              <w:rPr>
                <w:rFonts w:cs="Arial"/>
                <w:sz w:val="20"/>
              </w:rPr>
            </w:pPr>
            <w:r w:rsidRPr="00621BF1">
              <w:rPr>
                <w:rFonts w:cs="Arial"/>
                <w:sz w:val="20"/>
              </w:rPr>
              <w:t>50 à 79%</w:t>
            </w:r>
          </w:p>
        </w:tc>
        <w:tc>
          <w:tcPr>
            <w:tcW w:w="897" w:type="dxa"/>
          </w:tcPr>
          <w:p w:rsidR="00BF5273" w:rsidRPr="00621BF1" w:rsidRDefault="00BF5273" w:rsidP="00A718E5">
            <w:pPr>
              <w:spacing w:after="120"/>
              <w:jc w:val="center"/>
              <w:rPr>
                <w:rFonts w:cs="Arial"/>
                <w:sz w:val="20"/>
              </w:rPr>
            </w:pPr>
            <w:r w:rsidRPr="00621BF1">
              <w:rPr>
                <w:rFonts w:cs="Arial"/>
                <w:sz w:val="20"/>
              </w:rPr>
              <w:t>5</w:t>
            </w:r>
          </w:p>
        </w:tc>
        <w:tc>
          <w:tcPr>
            <w:tcW w:w="897" w:type="dxa"/>
          </w:tcPr>
          <w:p w:rsidR="00BF5273" w:rsidRPr="00621BF1" w:rsidRDefault="00BF5273" w:rsidP="00A718E5">
            <w:pPr>
              <w:spacing w:after="120"/>
              <w:jc w:val="center"/>
              <w:rPr>
                <w:rFonts w:cs="Arial"/>
                <w:sz w:val="20"/>
              </w:rPr>
            </w:pPr>
            <w:r w:rsidRPr="00621BF1">
              <w:rPr>
                <w:rFonts w:cs="Arial"/>
                <w:sz w:val="20"/>
              </w:rPr>
              <w:t>1</w:t>
            </w:r>
          </w:p>
        </w:tc>
        <w:tc>
          <w:tcPr>
            <w:tcW w:w="897" w:type="dxa"/>
          </w:tcPr>
          <w:p w:rsidR="00BF5273" w:rsidRPr="00621BF1" w:rsidRDefault="00BF5273" w:rsidP="00A718E5">
            <w:pPr>
              <w:spacing w:after="120"/>
              <w:jc w:val="center"/>
              <w:rPr>
                <w:rFonts w:cs="Arial"/>
                <w:sz w:val="20"/>
              </w:rPr>
            </w:pPr>
            <w:r w:rsidRPr="00621BF1">
              <w:rPr>
                <w:rFonts w:cs="Arial"/>
                <w:sz w:val="20"/>
              </w:rPr>
              <w:t>3</w:t>
            </w:r>
          </w:p>
        </w:tc>
        <w:tc>
          <w:tcPr>
            <w:tcW w:w="897" w:type="dxa"/>
          </w:tcPr>
          <w:p w:rsidR="00BF5273" w:rsidRPr="00621BF1" w:rsidRDefault="00BF5273" w:rsidP="00A718E5">
            <w:pPr>
              <w:spacing w:after="120"/>
              <w:jc w:val="center"/>
              <w:rPr>
                <w:rFonts w:cs="Arial"/>
                <w:sz w:val="20"/>
              </w:rPr>
            </w:pPr>
            <w:r w:rsidRPr="00621BF1">
              <w:rPr>
                <w:rFonts w:cs="Arial"/>
                <w:sz w:val="20"/>
              </w:rPr>
              <w:t>23</w:t>
            </w:r>
          </w:p>
        </w:tc>
        <w:tc>
          <w:tcPr>
            <w:tcW w:w="897" w:type="dxa"/>
          </w:tcPr>
          <w:p w:rsidR="00BF5273" w:rsidRPr="00621BF1" w:rsidRDefault="00BF5273" w:rsidP="00A718E5">
            <w:pPr>
              <w:spacing w:after="120"/>
              <w:jc w:val="center"/>
              <w:rPr>
                <w:rFonts w:cs="Arial"/>
                <w:sz w:val="20"/>
              </w:rPr>
            </w:pPr>
            <w:r w:rsidRPr="00621BF1">
              <w:rPr>
                <w:rFonts w:cs="Arial"/>
                <w:sz w:val="20"/>
              </w:rPr>
              <w:t>9</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3</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2</w:t>
            </w:r>
          </w:p>
        </w:tc>
      </w:tr>
      <w:tr w:rsidR="00BF5273" w:rsidRPr="006C6738" w:rsidTr="00A718E5">
        <w:tc>
          <w:tcPr>
            <w:tcW w:w="2521" w:type="dxa"/>
            <w:vMerge/>
          </w:tcPr>
          <w:p w:rsidR="00BF5273" w:rsidRPr="00621BF1" w:rsidRDefault="00BF5273" w:rsidP="00A718E5">
            <w:pPr>
              <w:spacing w:after="120"/>
              <w:jc w:val="both"/>
              <w:rPr>
                <w:rFonts w:cs="Arial"/>
                <w:sz w:val="20"/>
              </w:rPr>
            </w:pPr>
          </w:p>
        </w:tc>
        <w:tc>
          <w:tcPr>
            <w:tcW w:w="1582" w:type="dxa"/>
          </w:tcPr>
          <w:p w:rsidR="00BF5273" w:rsidRPr="00621BF1" w:rsidRDefault="00BF5273" w:rsidP="00A718E5">
            <w:pPr>
              <w:spacing w:after="120"/>
              <w:jc w:val="both"/>
              <w:rPr>
                <w:rFonts w:cs="Arial"/>
                <w:sz w:val="20"/>
              </w:rPr>
            </w:pPr>
            <w:r w:rsidRPr="00621BF1">
              <w:rPr>
                <w:rFonts w:cs="Arial"/>
                <w:sz w:val="20"/>
              </w:rPr>
              <w:t xml:space="preserve"> 80- 89 %</w:t>
            </w:r>
          </w:p>
        </w:tc>
        <w:tc>
          <w:tcPr>
            <w:tcW w:w="897" w:type="dxa"/>
          </w:tcPr>
          <w:p w:rsidR="00BF5273" w:rsidRPr="00621BF1" w:rsidRDefault="00BF5273" w:rsidP="00A718E5">
            <w:pPr>
              <w:spacing w:after="120"/>
              <w:jc w:val="center"/>
              <w:rPr>
                <w:rFonts w:cs="Arial"/>
                <w:sz w:val="20"/>
              </w:rPr>
            </w:pPr>
            <w:r w:rsidRPr="00621BF1">
              <w:rPr>
                <w:rFonts w:cs="Arial"/>
                <w:sz w:val="20"/>
              </w:rPr>
              <w:t>6</w:t>
            </w:r>
          </w:p>
        </w:tc>
        <w:tc>
          <w:tcPr>
            <w:tcW w:w="897" w:type="dxa"/>
          </w:tcPr>
          <w:p w:rsidR="00BF5273" w:rsidRPr="00621BF1" w:rsidRDefault="00BF5273" w:rsidP="00A718E5">
            <w:pPr>
              <w:spacing w:after="120"/>
              <w:jc w:val="center"/>
              <w:rPr>
                <w:rFonts w:cs="Arial"/>
                <w:sz w:val="20"/>
              </w:rPr>
            </w:pPr>
            <w:r w:rsidRPr="00621BF1">
              <w:rPr>
                <w:rFonts w:cs="Arial"/>
                <w:sz w:val="20"/>
              </w:rPr>
              <w:t>11</w:t>
            </w:r>
          </w:p>
        </w:tc>
        <w:tc>
          <w:tcPr>
            <w:tcW w:w="897" w:type="dxa"/>
          </w:tcPr>
          <w:p w:rsidR="00BF5273" w:rsidRPr="00621BF1" w:rsidRDefault="00BF5273" w:rsidP="00A718E5">
            <w:pPr>
              <w:spacing w:after="120"/>
              <w:jc w:val="center"/>
              <w:rPr>
                <w:rFonts w:cs="Arial"/>
                <w:sz w:val="20"/>
              </w:rPr>
            </w:pPr>
            <w:r w:rsidRPr="00621BF1">
              <w:rPr>
                <w:rFonts w:cs="Arial"/>
                <w:sz w:val="20"/>
              </w:rPr>
              <w:t>5</w:t>
            </w:r>
          </w:p>
        </w:tc>
        <w:tc>
          <w:tcPr>
            <w:tcW w:w="897" w:type="dxa"/>
          </w:tcPr>
          <w:p w:rsidR="00BF5273" w:rsidRPr="00621BF1" w:rsidRDefault="00BF5273" w:rsidP="00A718E5">
            <w:pPr>
              <w:spacing w:after="120"/>
              <w:jc w:val="center"/>
              <w:rPr>
                <w:rFonts w:cs="Arial"/>
                <w:sz w:val="20"/>
              </w:rPr>
            </w:pPr>
            <w:r w:rsidRPr="00621BF1">
              <w:rPr>
                <w:rFonts w:cs="Arial"/>
                <w:sz w:val="20"/>
              </w:rPr>
              <w:t>11</w:t>
            </w:r>
          </w:p>
        </w:tc>
        <w:tc>
          <w:tcPr>
            <w:tcW w:w="897" w:type="dxa"/>
          </w:tcPr>
          <w:p w:rsidR="00BF5273" w:rsidRPr="00621BF1" w:rsidRDefault="00BF5273" w:rsidP="00A718E5">
            <w:pPr>
              <w:spacing w:after="120"/>
              <w:jc w:val="center"/>
              <w:rPr>
                <w:rFonts w:cs="Arial"/>
                <w:sz w:val="20"/>
              </w:rPr>
            </w:pPr>
            <w:r w:rsidRPr="00621BF1">
              <w:rPr>
                <w:rFonts w:cs="Arial"/>
                <w:sz w:val="20"/>
              </w:rPr>
              <w:t>6</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10</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8</w:t>
            </w:r>
          </w:p>
        </w:tc>
      </w:tr>
      <w:tr w:rsidR="00BF5273" w:rsidRPr="006C6738" w:rsidTr="00A718E5">
        <w:tc>
          <w:tcPr>
            <w:tcW w:w="2521" w:type="dxa"/>
            <w:vMerge/>
          </w:tcPr>
          <w:p w:rsidR="00BF5273" w:rsidRPr="00621BF1" w:rsidRDefault="00BF5273" w:rsidP="00A718E5">
            <w:pPr>
              <w:spacing w:after="120"/>
              <w:jc w:val="both"/>
              <w:rPr>
                <w:rFonts w:cs="Arial"/>
                <w:sz w:val="20"/>
              </w:rPr>
            </w:pPr>
          </w:p>
        </w:tc>
        <w:tc>
          <w:tcPr>
            <w:tcW w:w="1582" w:type="dxa"/>
          </w:tcPr>
          <w:p w:rsidR="00BF5273" w:rsidRPr="00621BF1" w:rsidRDefault="00BF5273" w:rsidP="00A718E5">
            <w:pPr>
              <w:spacing w:after="120"/>
              <w:jc w:val="both"/>
              <w:rPr>
                <w:rFonts w:cs="Arial"/>
                <w:sz w:val="20"/>
              </w:rPr>
            </w:pPr>
            <w:r w:rsidRPr="00621BF1">
              <w:rPr>
                <w:rFonts w:cs="Arial"/>
                <w:sz w:val="20"/>
              </w:rPr>
              <w:t>Plus de 90%</w:t>
            </w:r>
          </w:p>
        </w:tc>
        <w:tc>
          <w:tcPr>
            <w:tcW w:w="897" w:type="dxa"/>
          </w:tcPr>
          <w:p w:rsidR="00BF5273" w:rsidRPr="00621BF1" w:rsidRDefault="00BF5273" w:rsidP="00A718E5">
            <w:pPr>
              <w:spacing w:after="120"/>
              <w:jc w:val="center"/>
              <w:rPr>
                <w:rFonts w:cs="Arial"/>
                <w:sz w:val="20"/>
              </w:rPr>
            </w:pPr>
            <w:r w:rsidRPr="00621BF1">
              <w:rPr>
                <w:rFonts w:cs="Arial"/>
                <w:sz w:val="20"/>
              </w:rPr>
              <w:t>27</w:t>
            </w:r>
          </w:p>
        </w:tc>
        <w:tc>
          <w:tcPr>
            <w:tcW w:w="897" w:type="dxa"/>
          </w:tcPr>
          <w:p w:rsidR="00BF5273" w:rsidRPr="00621BF1" w:rsidRDefault="00BF5273" w:rsidP="00A718E5">
            <w:pPr>
              <w:spacing w:after="120"/>
              <w:jc w:val="center"/>
              <w:rPr>
                <w:rFonts w:cs="Arial"/>
                <w:sz w:val="20"/>
              </w:rPr>
            </w:pPr>
            <w:r w:rsidRPr="00621BF1">
              <w:rPr>
                <w:rFonts w:cs="Arial"/>
                <w:sz w:val="20"/>
              </w:rPr>
              <w:t>26</w:t>
            </w:r>
          </w:p>
        </w:tc>
        <w:tc>
          <w:tcPr>
            <w:tcW w:w="897" w:type="dxa"/>
          </w:tcPr>
          <w:p w:rsidR="00BF5273" w:rsidRPr="00621BF1" w:rsidRDefault="00BF5273" w:rsidP="00A718E5">
            <w:pPr>
              <w:spacing w:after="120"/>
              <w:jc w:val="center"/>
              <w:rPr>
                <w:rFonts w:cs="Arial"/>
                <w:sz w:val="20"/>
              </w:rPr>
            </w:pPr>
            <w:r w:rsidRPr="00621BF1">
              <w:rPr>
                <w:rFonts w:cs="Arial"/>
                <w:sz w:val="20"/>
              </w:rPr>
              <w:t>30</w:t>
            </w:r>
          </w:p>
        </w:tc>
        <w:tc>
          <w:tcPr>
            <w:tcW w:w="897" w:type="dxa"/>
          </w:tcPr>
          <w:p w:rsidR="00BF5273" w:rsidRPr="00621BF1" w:rsidRDefault="00BF5273" w:rsidP="00A718E5">
            <w:pPr>
              <w:spacing w:after="120"/>
              <w:jc w:val="center"/>
              <w:rPr>
                <w:rFonts w:cs="Arial"/>
                <w:sz w:val="20"/>
              </w:rPr>
            </w:pPr>
            <w:r w:rsidRPr="00621BF1">
              <w:rPr>
                <w:rFonts w:cs="Arial"/>
                <w:sz w:val="20"/>
              </w:rPr>
              <w:t>3</w:t>
            </w:r>
          </w:p>
        </w:tc>
        <w:tc>
          <w:tcPr>
            <w:tcW w:w="897" w:type="dxa"/>
          </w:tcPr>
          <w:p w:rsidR="00BF5273" w:rsidRPr="00621BF1" w:rsidRDefault="00BF5273" w:rsidP="00A718E5">
            <w:pPr>
              <w:spacing w:after="120"/>
              <w:jc w:val="center"/>
              <w:rPr>
                <w:rFonts w:cs="Arial"/>
                <w:sz w:val="20"/>
              </w:rPr>
            </w:pPr>
            <w:r w:rsidRPr="00621BF1">
              <w:rPr>
                <w:rFonts w:cs="Arial"/>
                <w:sz w:val="20"/>
              </w:rPr>
              <w:t>22</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25</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28</w:t>
            </w:r>
          </w:p>
        </w:tc>
      </w:tr>
      <w:tr w:rsidR="00BF5273" w:rsidRPr="006C6738" w:rsidTr="00A718E5">
        <w:tc>
          <w:tcPr>
            <w:tcW w:w="2521" w:type="dxa"/>
            <w:vMerge w:val="restart"/>
            <w:vAlign w:val="center"/>
          </w:tcPr>
          <w:p w:rsidR="00BF5273" w:rsidRPr="00621BF1" w:rsidRDefault="00BF5273" w:rsidP="00A718E5">
            <w:pPr>
              <w:spacing w:after="120"/>
              <w:rPr>
                <w:rFonts w:cs="Arial"/>
                <w:sz w:val="20"/>
              </w:rPr>
            </w:pPr>
            <w:r w:rsidRPr="00621BF1">
              <w:rPr>
                <w:rFonts w:cs="Arial"/>
                <w:sz w:val="20"/>
              </w:rPr>
              <w:t xml:space="preserve">Performances des Districts Sanitaires en couverture </w:t>
            </w:r>
            <w:r w:rsidRPr="00CA5E4B">
              <w:rPr>
                <w:rFonts w:cs="Arial"/>
                <w:sz w:val="20"/>
              </w:rPr>
              <w:t>VAR</w:t>
            </w:r>
          </w:p>
        </w:tc>
        <w:tc>
          <w:tcPr>
            <w:tcW w:w="1582" w:type="dxa"/>
          </w:tcPr>
          <w:p w:rsidR="00BF5273" w:rsidRPr="00621BF1" w:rsidRDefault="00BF5273" w:rsidP="00A718E5">
            <w:pPr>
              <w:spacing w:after="120"/>
              <w:jc w:val="both"/>
              <w:rPr>
                <w:rFonts w:cs="Arial"/>
                <w:sz w:val="20"/>
              </w:rPr>
            </w:pPr>
            <w:r w:rsidRPr="00621BF1">
              <w:rPr>
                <w:rFonts w:cs="Arial"/>
                <w:sz w:val="20"/>
              </w:rPr>
              <w:t>Moins de 50%</w:t>
            </w:r>
          </w:p>
        </w:tc>
        <w:tc>
          <w:tcPr>
            <w:tcW w:w="897" w:type="dxa"/>
          </w:tcPr>
          <w:p w:rsidR="00BF5273" w:rsidRPr="00621BF1" w:rsidRDefault="00BF5273" w:rsidP="00A718E5">
            <w:pPr>
              <w:spacing w:after="120"/>
              <w:jc w:val="center"/>
              <w:rPr>
                <w:rFonts w:cs="Arial"/>
                <w:sz w:val="20"/>
              </w:rPr>
            </w:pPr>
            <w:r w:rsidRPr="00621BF1">
              <w:rPr>
                <w:rFonts w:cs="Arial"/>
                <w:sz w:val="20"/>
              </w:rPr>
              <w:t>0</w:t>
            </w:r>
          </w:p>
        </w:tc>
        <w:tc>
          <w:tcPr>
            <w:tcW w:w="897" w:type="dxa"/>
          </w:tcPr>
          <w:p w:rsidR="00BF5273" w:rsidRPr="00621BF1" w:rsidRDefault="00BF5273" w:rsidP="00A718E5">
            <w:pPr>
              <w:spacing w:after="120"/>
              <w:jc w:val="center"/>
              <w:rPr>
                <w:rFonts w:cs="Arial"/>
                <w:sz w:val="20"/>
              </w:rPr>
            </w:pPr>
            <w:r w:rsidRPr="00621BF1">
              <w:rPr>
                <w:rFonts w:cs="Arial"/>
                <w:sz w:val="20"/>
              </w:rPr>
              <w:t>0</w:t>
            </w:r>
          </w:p>
        </w:tc>
        <w:tc>
          <w:tcPr>
            <w:tcW w:w="897" w:type="dxa"/>
          </w:tcPr>
          <w:p w:rsidR="00BF5273" w:rsidRPr="00621BF1" w:rsidRDefault="00BF5273" w:rsidP="00A718E5">
            <w:pPr>
              <w:spacing w:after="120"/>
              <w:jc w:val="center"/>
              <w:rPr>
                <w:rFonts w:cs="Arial"/>
                <w:sz w:val="20"/>
              </w:rPr>
            </w:pPr>
            <w:r w:rsidRPr="00621BF1">
              <w:rPr>
                <w:rFonts w:cs="Arial"/>
                <w:sz w:val="20"/>
              </w:rPr>
              <w:t>0</w:t>
            </w:r>
          </w:p>
        </w:tc>
        <w:tc>
          <w:tcPr>
            <w:tcW w:w="897" w:type="dxa"/>
          </w:tcPr>
          <w:p w:rsidR="00BF5273" w:rsidRPr="00621BF1" w:rsidRDefault="00BF5273" w:rsidP="00A718E5">
            <w:pPr>
              <w:spacing w:after="120"/>
              <w:jc w:val="center"/>
              <w:rPr>
                <w:rFonts w:cs="Arial"/>
                <w:sz w:val="20"/>
              </w:rPr>
            </w:pPr>
            <w:r w:rsidRPr="00621BF1">
              <w:rPr>
                <w:rFonts w:cs="Arial"/>
                <w:sz w:val="20"/>
              </w:rPr>
              <w:t>1</w:t>
            </w:r>
          </w:p>
        </w:tc>
        <w:tc>
          <w:tcPr>
            <w:tcW w:w="897" w:type="dxa"/>
          </w:tcPr>
          <w:p w:rsidR="00BF5273" w:rsidRPr="00621BF1" w:rsidRDefault="00BF5273" w:rsidP="00A718E5">
            <w:pPr>
              <w:spacing w:after="120"/>
              <w:jc w:val="center"/>
              <w:rPr>
                <w:rFonts w:cs="Arial"/>
                <w:sz w:val="20"/>
              </w:rPr>
            </w:pPr>
            <w:r w:rsidRPr="00621BF1">
              <w:rPr>
                <w:rFonts w:cs="Arial"/>
                <w:sz w:val="20"/>
              </w:rPr>
              <w:t>1</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0</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4</w:t>
            </w:r>
          </w:p>
        </w:tc>
      </w:tr>
      <w:tr w:rsidR="00BF5273" w:rsidRPr="006C6738" w:rsidTr="00A718E5">
        <w:tc>
          <w:tcPr>
            <w:tcW w:w="2521" w:type="dxa"/>
            <w:vMerge/>
          </w:tcPr>
          <w:p w:rsidR="00BF5273" w:rsidRPr="00621BF1" w:rsidRDefault="00BF5273" w:rsidP="00A718E5">
            <w:pPr>
              <w:spacing w:after="120"/>
              <w:jc w:val="both"/>
              <w:rPr>
                <w:rFonts w:cs="Arial"/>
                <w:sz w:val="20"/>
              </w:rPr>
            </w:pPr>
          </w:p>
        </w:tc>
        <w:tc>
          <w:tcPr>
            <w:tcW w:w="1582" w:type="dxa"/>
          </w:tcPr>
          <w:p w:rsidR="00BF5273" w:rsidRPr="00621BF1" w:rsidRDefault="00BF5273" w:rsidP="00A718E5">
            <w:pPr>
              <w:spacing w:after="120"/>
              <w:jc w:val="both"/>
              <w:rPr>
                <w:rFonts w:cs="Arial"/>
                <w:sz w:val="20"/>
              </w:rPr>
            </w:pPr>
            <w:r w:rsidRPr="00621BF1">
              <w:rPr>
                <w:rFonts w:cs="Arial"/>
                <w:sz w:val="20"/>
              </w:rPr>
              <w:t>50 à 79%</w:t>
            </w:r>
          </w:p>
        </w:tc>
        <w:tc>
          <w:tcPr>
            <w:tcW w:w="897" w:type="dxa"/>
          </w:tcPr>
          <w:p w:rsidR="00BF5273" w:rsidRPr="00621BF1" w:rsidRDefault="00BF5273" w:rsidP="00A718E5">
            <w:pPr>
              <w:spacing w:after="120"/>
              <w:jc w:val="center"/>
              <w:rPr>
                <w:rFonts w:cs="Arial"/>
                <w:sz w:val="20"/>
              </w:rPr>
            </w:pPr>
            <w:r w:rsidRPr="00621BF1">
              <w:rPr>
                <w:rFonts w:cs="Arial"/>
                <w:sz w:val="20"/>
              </w:rPr>
              <w:t>1</w:t>
            </w:r>
          </w:p>
        </w:tc>
        <w:tc>
          <w:tcPr>
            <w:tcW w:w="897" w:type="dxa"/>
          </w:tcPr>
          <w:p w:rsidR="00BF5273" w:rsidRPr="00621BF1" w:rsidRDefault="00BF5273" w:rsidP="00A718E5">
            <w:pPr>
              <w:spacing w:after="120"/>
              <w:jc w:val="center"/>
              <w:rPr>
                <w:rFonts w:cs="Arial"/>
                <w:sz w:val="20"/>
              </w:rPr>
            </w:pPr>
            <w:r w:rsidRPr="00621BF1">
              <w:rPr>
                <w:rFonts w:cs="Arial"/>
                <w:sz w:val="20"/>
              </w:rPr>
              <w:t>1</w:t>
            </w:r>
          </w:p>
        </w:tc>
        <w:tc>
          <w:tcPr>
            <w:tcW w:w="897" w:type="dxa"/>
          </w:tcPr>
          <w:p w:rsidR="00BF5273" w:rsidRPr="00621BF1" w:rsidRDefault="00BF5273" w:rsidP="00A718E5">
            <w:pPr>
              <w:spacing w:after="120"/>
              <w:jc w:val="center"/>
              <w:rPr>
                <w:rFonts w:cs="Arial"/>
                <w:sz w:val="20"/>
              </w:rPr>
            </w:pPr>
            <w:r w:rsidRPr="00621BF1">
              <w:rPr>
                <w:rFonts w:cs="Arial"/>
                <w:sz w:val="20"/>
              </w:rPr>
              <w:t>5</w:t>
            </w:r>
          </w:p>
        </w:tc>
        <w:tc>
          <w:tcPr>
            <w:tcW w:w="897" w:type="dxa"/>
          </w:tcPr>
          <w:p w:rsidR="00BF5273" w:rsidRPr="00621BF1" w:rsidRDefault="00BF5273" w:rsidP="00A718E5">
            <w:pPr>
              <w:spacing w:after="120"/>
              <w:jc w:val="center"/>
              <w:rPr>
                <w:rFonts w:cs="Arial"/>
                <w:sz w:val="20"/>
              </w:rPr>
            </w:pPr>
            <w:r w:rsidRPr="00621BF1">
              <w:rPr>
                <w:rFonts w:cs="Arial"/>
                <w:sz w:val="20"/>
              </w:rPr>
              <w:t>7</w:t>
            </w:r>
          </w:p>
        </w:tc>
        <w:tc>
          <w:tcPr>
            <w:tcW w:w="897" w:type="dxa"/>
          </w:tcPr>
          <w:p w:rsidR="00BF5273" w:rsidRPr="00621BF1" w:rsidRDefault="00BF5273" w:rsidP="00A718E5">
            <w:pPr>
              <w:spacing w:after="120"/>
              <w:jc w:val="center"/>
              <w:rPr>
                <w:rFonts w:cs="Arial"/>
                <w:sz w:val="20"/>
              </w:rPr>
            </w:pPr>
            <w:r w:rsidRPr="00621BF1">
              <w:rPr>
                <w:rFonts w:cs="Arial"/>
                <w:sz w:val="20"/>
              </w:rPr>
              <w:t>10</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3</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3</w:t>
            </w:r>
          </w:p>
        </w:tc>
      </w:tr>
      <w:tr w:rsidR="00BF5273" w:rsidRPr="006C6738" w:rsidTr="00A718E5">
        <w:tc>
          <w:tcPr>
            <w:tcW w:w="2521" w:type="dxa"/>
            <w:vMerge/>
          </w:tcPr>
          <w:p w:rsidR="00BF5273" w:rsidRPr="00621BF1" w:rsidRDefault="00BF5273" w:rsidP="00A718E5">
            <w:pPr>
              <w:spacing w:after="120"/>
              <w:jc w:val="both"/>
              <w:rPr>
                <w:rFonts w:cs="Arial"/>
                <w:sz w:val="20"/>
              </w:rPr>
            </w:pPr>
          </w:p>
        </w:tc>
        <w:tc>
          <w:tcPr>
            <w:tcW w:w="1582" w:type="dxa"/>
          </w:tcPr>
          <w:p w:rsidR="00BF5273" w:rsidRPr="00621BF1" w:rsidRDefault="00BF5273" w:rsidP="00A718E5">
            <w:pPr>
              <w:spacing w:after="120"/>
              <w:jc w:val="both"/>
              <w:rPr>
                <w:rFonts w:cs="Arial"/>
                <w:sz w:val="20"/>
              </w:rPr>
            </w:pPr>
            <w:r w:rsidRPr="00621BF1">
              <w:rPr>
                <w:rFonts w:cs="Arial"/>
                <w:sz w:val="20"/>
              </w:rPr>
              <w:t xml:space="preserve"> 80- 89 %</w:t>
            </w:r>
          </w:p>
        </w:tc>
        <w:tc>
          <w:tcPr>
            <w:tcW w:w="897" w:type="dxa"/>
          </w:tcPr>
          <w:p w:rsidR="00BF5273" w:rsidRPr="00621BF1" w:rsidRDefault="00BF5273" w:rsidP="00A718E5">
            <w:pPr>
              <w:spacing w:after="120"/>
              <w:jc w:val="center"/>
              <w:rPr>
                <w:rFonts w:cs="Arial"/>
                <w:sz w:val="20"/>
              </w:rPr>
            </w:pPr>
            <w:r w:rsidRPr="00621BF1">
              <w:rPr>
                <w:rFonts w:cs="Arial"/>
                <w:sz w:val="20"/>
              </w:rPr>
              <w:t>10</w:t>
            </w:r>
          </w:p>
        </w:tc>
        <w:tc>
          <w:tcPr>
            <w:tcW w:w="897" w:type="dxa"/>
          </w:tcPr>
          <w:p w:rsidR="00BF5273" w:rsidRPr="00621BF1" w:rsidRDefault="00BF5273" w:rsidP="00A718E5">
            <w:pPr>
              <w:spacing w:after="120"/>
              <w:jc w:val="center"/>
              <w:rPr>
                <w:rFonts w:cs="Arial"/>
                <w:sz w:val="20"/>
              </w:rPr>
            </w:pPr>
            <w:r w:rsidRPr="00621BF1">
              <w:rPr>
                <w:rFonts w:cs="Arial"/>
                <w:sz w:val="20"/>
              </w:rPr>
              <w:t>12</w:t>
            </w:r>
          </w:p>
        </w:tc>
        <w:tc>
          <w:tcPr>
            <w:tcW w:w="897" w:type="dxa"/>
          </w:tcPr>
          <w:p w:rsidR="00BF5273" w:rsidRPr="00621BF1" w:rsidRDefault="00BF5273" w:rsidP="00A718E5">
            <w:pPr>
              <w:spacing w:after="120"/>
              <w:jc w:val="center"/>
              <w:rPr>
                <w:rFonts w:cs="Arial"/>
                <w:sz w:val="20"/>
              </w:rPr>
            </w:pPr>
            <w:r w:rsidRPr="00621BF1">
              <w:rPr>
                <w:rFonts w:cs="Arial"/>
                <w:sz w:val="20"/>
              </w:rPr>
              <w:t>5</w:t>
            </w:r>
          </w:p>
        </w:tc>
        <w:tc>
          <w:tcPr>
            <w:tcW w:w="897" w:type="dxa"/>
          </w:tcPr>
          <w:p w:rsidR="00BF5273" w:rsidRPr="00621BF1" w:rsidDel="00A7182D" w:rsidRDefault="00BF5273" w:rsidP="00A718E5">
            <w:pPr>
              <w:spacing w:after="120"/>
              <w:jc w:val="center"/>
              <w:rPr>
                <w:rFonts w:cs="Arial"/>
                <w:sz w:val="20"/>
              </w:rPr>
            </w:pPr>
            <w:r w:rsidRPr="00621BF1">
              <w:rPr>
                <w:rFonts w:cs="Arial"/>
                <w:sz w:val="20"/>
              </w:rPr>
              <w:t>6</w:t>
            </w:r>
          </w:p>
        </w:tc>
        <w:tc>
          <w:tcPr>
            <w:tcW w:w="897" w:type="dxa"/>
          </w:tcPr>
          <w:p w:rsidR="00BF5273" w:rsidRPr="00621BF1" w:rsidDel="00A7182D" w:rsidRDefault="00BF5273" w:rsidP="00A718E5">
            <w:pPr>
              <w:spacing w:after="120"/>
              <w:jc w:val="center"/>
              <w:rPr>
                <w:rFonts w:cs="Arial"/>
                <w:sz w:val="20"/>
              </w:rPr>
            </w:pPr>
            <w:r w:rsidRPr="00621BF1">
              <w:rPr>
                <w:rFonts w:cs="Arial"/>
                <w:sz w:val="20"/>
              </w:rPr>
              <w:t>4</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8</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9</w:t>
            </w:r>
          </w:p>
        </w:tc>
      </w:tr>
      <w:tr w:rsidR="00BF5273" w:rsidRPr="006C6738" w:rsidTr="00A718E5">
        <w:tc>
          <w:tcPr>
            <w:tcW w:w="2521" w:type="dxa"/>
            <w:vMerge/>
          </w:tcPr>
          <w:p w:rsidR="00BF5273" w:rsidRPr="00621BF1" w:rsidRDefault="00BF5273" w:rsidP="00A718E5">
            <w:pPr>
              <w:spacing w:after="120"/>
              <w:jc w:val="both"/>
              <w:rPr>
                <w:rFonts w:cs="Arial"/>
                <w:sz w:val="20"/>
              </w:rPr>
            </w:pPr>
          </w:p>
        </w:tc>
        <w:tc>
          <w:tcPr>
            <w:tcW w:w="1582" w:type="dxa"/>
          </w:tcPr>
          <w:p w:rsidR="00BF5273" w:rsidRPr="00621BF1" w:rsidRDefault="00BF5273" w:rsidP="00A718E5">
            <w:pPr>
              <w:spacing w:after="120"/>
              <w:jc w:val="both"/>
              <w:rPr>
                <w:rFonts w:cs="Arial"/>
                <w:sz w:val="20"/>
              </w:rPr>
            </w:pPr>
            <w:r w:rsidRPr="00621BF1">
              <w:rPr>
                <w:rFonts w:cs="Arial"/>
                <w:sz w:val="20"/>
              </w:rPr>
              <w:t>Plus de 90%</w:t>
            </w:r>
          </w:p>
        </w:tc>
        <w:tc>
          <w:tcPr>
            <w:tcW w:w="897" w:type="dxa"/>
          </w:tcPr>
          <w:p w:rsidR="00BF5273" w:rsidRPr="00621BF1" w:rsidRDefault="00BF5273" w:rsidP="00A718E5">
            <w:pPr>
              <w:spacing w:after="120"/>
              <w:jc w:val="center"/>
              <w:rPr>
                <w:rFonts w:cs="Arial"/>
                <w:sz w:val="20"/>
              </w:rPr>
            </w:pPr>
            <w:r w:rsidRPr="00621BF1">
              <w:rPr>
                <w:rFonts w:cs="Arial"/>
                <w:sz w:val="20"/>
              </w:rPr>
              <w:t>27</w:t>
            </w:r>
          </w:p>
        </w:tc>
        <w:tc>
          <w:tcPr>
            <w:tcW w:w="897" w:type="dxa"/>
          </w:tcPr>
          <w:p w:rsidR="00BF5273" w:rsidRPr="00621BF1" w:rsidRDefault="00BF5273" w:rsidP="00A718E5">
            <w:pPr>
              <w:spacing w:after="120"/>
              <w:jc w:val="center"/>
              <w:rPr>
                <w:rFonts w:cs="Arial"/>
                <w:sz w:val="20"/>
              </w:rPr>
            </w:pPr>
            <w:r w:rsidRPr="00621BF1">
              <w:rPr>
                <w:rFonts w:cs="Arial"/>
                <w:sz w:val="20"/>
              </w:rPr>
              <w:t>25</w:t>
            </w:r>
          </w:p>
        </w:tc>
        <w:tc>
          <w:tcPr>
            <w:tcW w:w="897" w:type="dxa"/>
          </w:tcPr>
          <w:p w:rsidR="00BF5273" w:rsidRPr="00621BF1" w:rsidRDefault="00BF5273" w:rsidP="00A718E5">
            <w:pPr>
              <w:spacing w:after="120"/>
              <w:jc w:val="center"/>
              <w:rPr>
                <w:rFonts w:cs="Arial"/>
                <w:sz w:val="20"/>
              </w:rPr>
            </w:pPr>
            <w:r w:rsidRPr="00621BF1">
              <w:rPr>
                <w:rFonts w:cs="Arial"/>
                <w:sz w:val="20"/>
              </w:rPr>
              <w:t>28</w:t>
            </w:r>
          </w:p>
        </w:tc>
        <w:tc>
          <w:tcPr>
            <w:tcW w:w="897" w:type="dxa"/>
          </w:tcPr>
          <w:p w:rsidR="00BF5273" w:rsidRPr="00621BF1" w:rsidRDefault="00BF5273" w:rsidP="00A718E5">
            <w:pPr>
              <w:spacing w:after="120"/>
              <w:jc w:val="center"/>
              <w:rPr>
                <w:rFonts w:cs="Arial"/>
                <w:sz w:val="20"/>
              </w:rPr>
            </w:pPr>
            <w:r w:rsidRPr="00621BF1">
              <w:rPr>
                <w:rFonts w:cs="Arial"/>
                <w:sz w:val="20"/>
              </w:rPr>
              <w:t>24</w:t>
            </w:r>
          </w:p>
        </w:tc>
        <w:tc>
          <w:tcPr>
            <w:tcW w:w="897" w:type="dxa"/>
          </w:tcPr>
          <w:p w:rsidR="00BF5273" w:rsidRPr="00621BF1" w:rsidRDefault="00BF5273" w:rsidP="00A718E5">
            <w:pPr>
              <w:spacing w:after="120"/>
              <w:jc w:val="center"/>
              <w:rPr>
                <w:rFonts w:cs="Arial"/>
                <w:sz w:val="20"/>
              </w:rPr>
            </w:pPr>
            <w:r w:rsidRPr="00621BF1">
              <w:rPr>
                <w:rFonts w:cs="Arial"/>
                <w:sz w:val="20"/>
              </w:rPr>
              <w:t>23</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27</w:t>
            </w:r>
          </w:p>
        </w:tc>
        <w:tc>
          <w:tcPr>
            <w:tcW w:w="741" w:type="dxa"/>
          </w:tcPr>
          <w:p w:rsidR="00BF5273" w:rsidRPr="006C6738" w:rsidRDefault="00BF5273" w:rsidP="00A718E5">
            <w:pPr>
              <w:spacing w:after="120"/>
              <w:jc w:val="center"/>
              <w:rPr>
                <w:rFonts w:cs="Arial"/>
                <w:color w:val="00B050"/>
                <w:sz w:val="20"/>
              </w:rPr>
            </w:pPr>
            <w:r w:rsidRPr="006C6738">
              <w:rPr>
                <w:rFonts w:cs="Arial"/>
                <w:color w:val="00B050"/>
                <w:sz w:val="20"/>
              </w:rPr>
              <w:t>22</w:t>
            </w:r>
          </w:p>
        </w:tc>
      </w:tr>
      <w:tr w:rsidR="00BF5273" w:rsidRPr="006C6738" w:rsidTr="00A718E5">
        <w:tc>
          <w:tcPr>
            <w:tcW w:w="2521" w:type="dxa"/>
            <w:vMerge w:val="restart"/>
            <w:vAlign w:val="center"/>
          </w:tcPr>
          <w:p w:rsidR="00BF5273" w:rsidRPr="00621BF1" w:rsidRDefault="00BF5273" w:rsidP="00A718E5">
            <w:pPr>
              <w:spacing w:after="120"/>
              <w:rPr>
                <w:rFonts w:cs="Arial"/>
                <w:sz w:val="20"/>
              </w:rPr>
            </w:pPr>
            <w:r w:rsidRPr="00621BF1">
              <w:rPr>
                <w:rFonts w:cs="Arial"/>
                <w:sz w:val="20"/>
              </w:rPr>
              <w:t xml:space="preserve">Performances des Districts sanitaires en couverture </w:t>
            </w:r>
            <w:r>
              <w:rPr>
                <w:rFonts w:cs="Arial"/>
                <w:sz w:val="20"/>
              </w:rPr>
              <w:t>VAT</w:t>
            </w:r>
            <w:r w:rsidRPr="00CA5E4B">
              <w:rPr>
                <w:rFonts w:cs="Arial"/>
                <w:sz w:val="20"/>
              </w:rPr>
              <w:t xml:space="preserve"> </w:t>
            </w:r>
            <w:r>
              <w:rPr>
                <w:rFonts w:cs="Arial"/>
                <w:sz w:val="20"/>
              </w:rPr>
              <w:t>2</w:t>
            </w:r>
            <w:r w:rsidRPr="00CA5E4B">
              <w:rPr>
                <w:rFonts w:cs="Arial"/>
                <w:sz w:val="20"/>
              </w:rPr>
              <w:t>+</w:t>
            </w:r>
          </w:p>
        </w:tc>
        <w:tc>
          <w:tcPr>
            <w:tcW w:w="1582" w:type="dxa"/>
          </w:tcPr>
          <w:p w:rsidR="00BF5273" w:rsidRPr="00621BF1" w:rsidRDefault="00BF5273" w:rsidP="00A718E5">
            <w:pPr>
              <w:spacing w:after="120"/>
              <w:jc w:val="both"/>
              <w:rPr>
                <w:rFonts w:cs="Arial"/>
                <w:sz w:val="20"/>
              </w:rPr>
            </w:pPr>
            <w:r w:rsidRPr="00621BF1">
              <w:rPr>
                <w:rFonts w:cs="Arial"/>
                <w:sz w:val="20"/>
              </w:rPr>
              <w:t>Moins de 50%</w:t>
            </w:r>
          </w:p>
        </w:tc>
        <w:tc>
          <w:tcPr>
            <w:tcW w:w="897" w:type="dxa"/>
          </w:tcPr>
          <w:p w:rsidR="00BF5273" w:rsidRPr="00621BF1" w:rsidRDefault="00BF5273" w:rsidP="00A718E5">
            <w:pPr>
              <w:spacing w:after="120"/>
              <w:jc w:val="center"/>
              <w:rPr>
                <w:rFonts w:cs="Arial"/>
                <w:sz w:val="20"/>
              </w:rPr>
            </w:pPr>
            <w:r w:rsidRPr="00621BF1">
              <w:rPr>
                <w:rFonts w:cs="Arial"/>
                <w:sz w:val="20"/>
              </w:rPr>
              <w:t>0</w:t>
            </w:r>
          </w:p>
        </w:tc>
        <w:tc>
          <w:tcPr>
            <w:tcW w:w="897" w:type="dxa"/>
          </w:tcPr>
          <w:p w:rsidR="00BF5273" w:rsidRPr="00621BF1" w:rsidRDefault="00BF5273" w:rsidP="00A718E5">
            <w:pPr>
              <w:spacing w:after="120"/>
              <w:jc w:val="center"/>
              <w:rPr>
                <w:rFonts w:cs="Arial"/>
                <w:sz w:val="20"/>
              </w:rPr>
            </w:pPr>
            <w:r w:rsidRPr="00621BF1">
              <w:rPr>
                <w:rFonts w:cs="Arial"/>
                <w:sz w:val="20"/>
              </w:rPr>
              <w:t>0</w:t>
            </w:r>
          </w:p>
        </w:tc>
        <w:tc>
          <w:tcPr>
            <w:tcW w:w="897" w:type="dxa"/>
          </w:tcPr>
          <w:p w:rsidR="00BF5273" w:rsidRPr="00621BF1" w:rsidRDefault="00BF5273" w:rsidP="00A718E5">
            <w:pPr>
              <w:spacing w:after="120"/>
              <w:jc w:val="center"/>
              <w:rPr>
                <w:rFonts w:cs="Arial"/>
                <w:sz w:val="20"/>
              </w:rPr>
            </w:pPr>
            <w:r w:rsidRPr="00621BF1">
              <w:rPr>
                <w:rFonts w:cs="Arial"/>
                <w:sz w:val="20"/>
              </w:rPr>
              <w:t>0</w:t>
            </w:r>
          </w:p>
        </w:tc>
        <w:tc>
          <w:tcPr>
            <w:tcW w:w="897" w:type="dxa"/>
          </w:tcPr>
          <w:p w:rsidR="00BF5273" w:rsidRPr="00621BF1" w:rsidRDefault="00BF5273" w:rsidP="00A718E5">
            <w:pPr>
              <w:spacing w:after="120"/>
              <w:jc w:val="center"/>
              <w:rPr>
                <w:rFonts w:cs="Arial"/>
                <w:sz w:val="18"/>
              </w:rPr>
            </w:pPr>
            <w:r w:rsidRPr="00621BF1">
              <w:rPr>
                <w:rFonts w:cs="Arial"/>
                <w:sz w:val="18"/>
              </w:rPr>
              <w:t>NA</w:t>
            </w:r>
          </w:p>
        </w:tc>
        <w:tc>
          <w:tcPr>
            <w:tcW w:w="897" w:type="dxa"/>
          </w:tcPr>
          <w:p w:rsidR="00BF5273" w:rsidRPr="00621BF1" w:rsidRDefault="00BF5273" w:rsidP="00A718E5">
            <w:pPr>
              <w:spacing w:after="120"/>
              <w:jc w:val="center"/>
              <w:rPr>
                <w:rFonts w:cs="Arial"/>
                <w:sz w:val="18"/>
              </w:rPr>
            </w:pPr>
            <w:r w:rsidRPr="00621BF1">
              <w:rPr>
                <w:rFonts w:cs="Arial"/>
                <w:sz w:val="18"/>
              </w:rPr>
              <w:t>NA</w:t>
            </w:r>
          </w:p>
        </w:tc>
        <w:tc>
          <w:tcPr>
            <w:tcW w:w="741" w:type="dxa"/>
          </w:tcPr>
          <w:p w:rsidR="00BF5273" w:rsidRPr="006C6738" w:rsidRDefault="00BF5273" w:rsidP="00A718E5">
            <w:pPr>
              <w:spacing w:after="120"/>
              <w:jc w:val="center"/>
              <w:rPr>
                <w:rFonts w:cs="Arial"/>
                <w:color w:val="00B050"/>
                <w:sz w:val="18"/>
              </w:rPr>
            </w:pPr>
            <w:r w:rsidRPr="006C6738">
              <w:rPr>
                <w:rFonts w:cs="Arial"/>
                <w:color w:val="00B050"/>
                <w:sz w:val="18"/>
              </w:rPr>
              <w:t>14</w:t>
            </w:r>
          </w:p>
        </w:tc>
        <w:tc>
          <w:tcPr>
            <w:tcW w:w="741" w:type="dxa"/>
          </w:tcPr>
          <w:p w:rsidR="00BF5273" w:rsidRPr="006C6738" w:rsidRDefault="00BF5273" w:rsidP="00A718E5">
            <w:pPr>
              <w:spacing w:after="120"/>
              <w:jc w:val="center"/>
              <w:rPr>
                <w:rFonts w:cs="Arial"/>
                <w:color w:val="00B050"/>
                <w:sz w:val="18"/>
              </w:rPr>
            </w:pPr>
            <w:r w:rsidRPr="006C6738">
              <w:rPr>
                <w:rFonts w:cs="Arial"/>
                <w:color w:val="00B050"/>
                <w:sz w:val="18"/>
              </w:rPr>
              <w:t>14</w:t>
            </w:r>
          </w:p>
        </w:tc>
      </w:tr>
      <w:tr w:rsidR="00BF5273" w:rsidRPr="006C6738" w:rsidTr="00A718E5">
        <w:tc>
          <w:tcPr>
            <w:tcW w:w="2521" w:type="dxa"/>
            <w:vMerge/>
          </w:tcPr>
          <w:p w:rsidR="00BF5273" w:rsidRPr="00621BF1" w:rsidRDefault="00BF5273" w:rsidP="00A718E5">
            <w:pPr>
              <w:spacing w:after="120"/>
              <w:rPr>
                <w:rFonts w:cs="Arial"/>
                <w:sz w:val="20"/>
              </w:rPr>
            </w:pPr>
          </w:p>
        </w:tc>
        <w:tc>
          <w:tcPr>
            <w:tcW w:w="1582" w:type="dxa"/>
          </w:tcPr>
          <w:p w:rsidR="00BF5273" w:rsidRPr="00621BF1" w:rsidRDefault="00BF5273" w:rsidP="00A718E5">
            <w:pPr>
              <w:spacing w:after="120"/>
              <w:jc w:val="both"/>
              <w:rPr>
                <w:rFonts w:cs="Arial"/>
                <w:sz w:val="20"/>
              </w:rPr>
            </w:pPr>
            <w:r w:rsidRPr="00621BF1">
              <w:rPr>
                <w:rFonts w:cs="Arial"/>
                <w:sz w:val="20"/>
              </w:rPr>
              <w:t>50 à 79%</w:t>
            </w:r>
          </w:p>
        </w:tc>
        <w:tc>
          <w:tcPr>
            <w:tcW w:w="897" w:type="dxa"/>
          </w:tcPr>
          <w:p w:rsidR="00BF5273" w:rsidRPr="00621BF1" w:rsidRDefault="00BF5273" w:rsidP="00A718E5">
            <w:pPr>
              <w:spacing w:after="120"/>
              <w:jc w:val="center"/>
              <w:rPr>
                <w:rFonts w:cs="Arial"/>
                <w:sz w:val="20"/>
              </w:rPr>
            </w:pPr>
            <w:r w:rsidRPr="00621BF1">
              <w:rPr>
                <w:rFonts w:cs="Arial"/>
                <w:sz w:val="20"/>
              </w:rPr>
              <w:t>8</w:t>
            </w:r>
          </w:p>
        </w:tc>
        <w:tc>
          <w:tcPr>
            <w:tcW w:w="897" w:type="dxa"/>
          </w:tcPr>
          <w:p w:rsidR="00BF5273" w:rsidRPr="00621BF1" w:rsidRDefault="00BF5273" w:rsidP="00A718E5">
            <w:pPr>
              <w:spacing w:after="120"/>
              <w:jc w:val="center"/>
              <w:rPr>
                <w:rFonts w:cs="Arial"/>
                <w:sz w:val="20"/>
              </w:rPr>
            </w:pPr>
            <w:r w:rsidRPr="00621BF1">
              <w:rPr>
                <w:rFonts w:cs="Arial"/>
                <w:sz w:val="20"/>
              </w:rPr>
              <w:t>6</w:t>
            </w:r>
          </w:p>
        </w:tc>
        <w:tc>
          <w:tcPr>
            <w:tcW w:w="897" w:type="dxa"/>
          </w:tcPr>
          <w:p w:rsidR="00BF5273" w:rsidRPr="00621BF1" w:rsidRDefault="00BF5273" w:rsidP="00A718E5">
            <w:pPr>
              <w:spacing w:after="120"/>
              <w:jc w:val="center"/>
              <w:rPr>
                <w:rFonts w:cs="Arial"/>
                <w:sz w:val="20"/>
              </w:rPr>
            </w:pPr>
            <w:r w:rsidRPr="00621BF1">
              <w:rPr>
                <w:rFonts w:cs="Arial"/>
                <w:sz w:val="20"/>
              </w:rPr>
              <w:t>10</w:t>
            </w:r>
          </w:p>
        </w:tc>
        <w:tc>
          <w:tcPr>
            <w:tcW w:w="897" w:type="dxa"/>
          </w:tcPr>
          <w:p w:rsidR="00BF5273" w:rsidRPr="00621BF1" w:rsidRDefault="00BF5273" w:rsidP="00A718E5">
            <w:pPr>
              <w:spacing w:after="120"/>
              <w:jc w:val="center"/>
              <w:rPr>
                <w:rFonts w:cs="Arial"/>
                <w:sz w:val="18"/>
              </w:rPr>
            </w:pPr>
            <w:r w:rsidRPr="00621BF1">
              <w:rPr>
                <w:rFonts w:cs="Arial"/>
                <w:sz w:val="18"/>
              </w:rPr>
              <w:t>NA</w:t>
            </w:r>
          </w:p>
        </w:tc>
        <w:tc>
          <w:tcPr>
            <w:tcW w:w="897" w:type="dxa"/>
          </w:tcPr>
          <w:p w:rsidR="00BF5273" w:rsidRPr="00621BF1" w:rsidRDefault="00BF5273" w:rsidP="00A718E5">
            <w:pPr>
              <w:spacing w:after="120"/>
              <w:jc w:val="center"/>
              <w:rPr>
                <w:rFonts w:cs="Arial"/>
                <w:sz w:val="18"/>
              </w:rPr>
            </w:pPr>
            <w:r w:rsidRPr="00621BF1">
              <w:rPr>
                <w:rFonts w:cs="Arial"/>
                <w:sz w:val="18"/>
              </w:rPr>
              <w:t>NA</w:t>
            </w:r>
          </w:p>
        </w:tc>
        <w:tc>
          <w:tcPr>
            <w:tcW w:w="741" w:type="dxa"/>
          </w:tcPr>
          <w:p w:rsidR="00BF5273" w:rsidRPr="006C6738" w:rsidRDefault="00BF5273" w:rsidP="00A718E5">
            <w:pPr>
              <w:spacing w:after="120"/>
              <w:jc w:val="center"/>
              <w:rPr>
                <w:rFonts w:cs="Arial"/>
                <w:color w:val="00B050"/>
                <w:sz w:val="18"/>
              </w:rPr>
            </w:pPr>
            <w:r w:rsidRPr="006C6738">
              <w:rPr>
                <w:rFonts w:cs="Arial"/>
                <w:color w:val="00B050"/>
                <w:sz w:val="18"/>
              </w:rPr>
              <w:t>21</w:t>
            </w:r>
          </w:p>
        </w:tc>
        <w:tc>
          <w:tcPr>
            <w:tcW w:w="741" w:type="dxa"/>
          </w:tcPr>
          <w:p w:rsidR="00BF5273" w:rsidRPr="006C6738" w:rsidRDefault="00BF5273" w:rsidP="00A718E5">
            <w:pPr>
              <w:spacing w:after="120"/>
              <w:jc w:val="center"/>
              <w:rPr>
                <w:rFonts w:cs="Arial"/>
                <w:color w:val="00B050"/>
                <w:sz w:val="18"/>
              </w:rPr>
            </w:pPr>
            <w:r w:rsidRPr="006C6738">
              <w:rPr>
                <w:rFonts w:cs="Arial"/>
                <w:color w:val="00B050"/>
                <w:sz w:val="18"/>
              </w:rPr>
              <w:t>14</w:t>
            </w:r>
          </w:p>
        </w:tc>
      </w:tr>
      <w:tr w:rsidR="00BF5273" w:rsidRPr="006C6738" w:rsidTr="00A718E5">
        <w:tc>
          <w:tcPr>
            <w:tcW w:w="2521" w:type="dxa"/>
            <w:vMerge/>
          </w:tcPr>
          <w:p w:rsidR="00BF5273" w:rsidRPr="00621BF1" w:rsidRDefault="00BF5273" w:rsidP="00A718E5">
            <w:pPr>
              <w:spacing w:after="120"/>
              <w:rPr>
                <w:rFonts w:cs="Arial"/>
                <w:sz w:val="20"/>
              </w:rPr>
            </w:pPr>
          </w:p>
        </w:tc>
        <w:tc>
          <w:tcPr>
            <w:tcW w:w="1582" w:type="dxa"/>
          </w:tcPr>
          <w:p w:rsidR="00BF5273" w:rsidRPr="00621BF1" w:rsidRDefault="00BF5273" w:rsidP="00A718E5">
            <w:pPr>
              <w:spacing w:after="120"/>
              <w:jc w:val="both"/>
              <w:rPr>
                <w:rFonts w:cs="Arial"/>
                <w:sz w:val="20"/>
              </w:rPr>
            </w:pPr>
            <w:r w:rsidRPr="00621BF1">
              <w:rPr>
                <w:rFonts w:cs="Arial"/>
                <w:sz w:val="20"/>
              </w:rPr>
              <w:t>80- 89 %</w:t>
            </w:r>
          </w:p>
        </w:tc>
        <w:tc>
          <w:tcPr>
            <w:tcW w:w="897" w:type="dxa"/>
          </w:tcPr>
          <w:p w:rsidR="00BF5273" w:rsidRPr="00621BF1" w:rsidRDefault="00BF5273" w:rsidP="00A718E5">
            <w:pPr>
              <w:spacing w:after="120"/>
              <w:jc w:val="center"/>
              <w:rPr>
                <w:rFonts w:cs="Arial"/>
                <w:sz w:val="20"/>
              </w:rPr>
            </w:pPr>
            <w:r w:rsidRPr="00621BF1">
              <w:rPr>
                <w:rFonts w:cs="Arial"/>
                <w:sz w:val="20"/>
              </w:rPr>
              <w:t>9</w:t>
            </w:r>
          </w:p>
        </w:tc>
        <w:tc>
          <w:tcPr>
            <w:tcW w:w="897" w:type="dxa"/>
          </w:tcPr>
          <w:p w:rsidR="00BF5273" w:rsidRPr="00621BF1" w:rsidRDefault="00BF5273" w:rsidP="00A718E5">
            <w:pPr>
              <w:spacing w:after="120"/>
              <w:jc w:val="center"/>
              <w:rPr>
                <w:rFonts w:cs="Arial"/>
                <w:sz w:val="20"/>
              </w:rPr>
            </w:pPr>
            <w:r w:rsidRPr="00621BF1">
              <w:rPr>
                <w:rFonts w:cs="Arial"/>
                <w:sz w:val="20"/>
              </w:rPr>
              <w:t>9</w:t>
            </w:r>
          </w:p>
        </w:tc>
        <w:tc>
          <w:tcPr>
            <w:tcW w:w="897" w:type="dxa"/>
          </w:tcPr>
          <w:p w:rsidR="00BF5273" w:rsidRPr="00621BF1" w:rsidRDefault="00BF5273" w:rsidP="00A718E5">
            <w:pPr>
              <w:spacing w:after="120"/>
              <w:jc w:val="center"/>
              <w:rPr>
                <w:rFonts w:cs="Arial"/>
                <w:sz w:val="20"/>
              </w:rPr>
            </w:pPr>
            <w:r w:rsidRPr="00621BF1">
              <w:rPr>
                <w:rFonts w:cs="Arial"/>
                <w:sz w:val="20"/>
              </w:rPr>
              <w:t>9</w:t>
            </w:r>
          </w:p>
        </w:tc>
        <w:tc>
          <w:tcPr>
            <w:tcW w:w="897" w:type="dxa"/>
          </w:tcPr>
          <w:p w:rsidR="00BF5273" w:rsidRPr="00621BF1" w:rsidDel="00A7182D" w:rsidRDefault="00BF5273" w:rsidP="00A718E5">
            <w:pPr>
              <w:spacing w:after="120"/>
              <w:jc w:val="center"/>
              <w:rPr>
                <w:rFonts w:cs="Arial"/>
                <w:sz w:val="18"/>
              </w:rPr>
            </w:pPr>
            <w:r w:rsidRPr="00621BF1">
              <w:rPr>
                <w:rFonts w:cs="Arial"/>
                <w:sz w:val="18"/>
              </w:rPr>
              <w:t>NA</w:t>
            </w:r>
          </w:p>
        </w:tc>
        <w:tc>
          <w:tcPr>
            <w:tcW w:w="897" w:type="dxa"/>
          </w:tcPr>
          <w:p w:rsidR="00BF5273" w:rsidRPr="00621BF1" w:rsidDel="00A7182D" w:rsidRDefault="00BF5273" w:rsidP="00A718E5">
            <w:pPr>
              <w:spacing w:after="120"/>
              <w:jc w:val="center"/>
              <w:rPr>
                <w:rFonts w:cs="Arial"/>
                <w:sz w:val="18"/>
              </w:rPr>
            </w:pPr>
            <w:r w:rsidRPr="00621BF1">
              <w:rPr>
                <w:rFonts w:cs="Arial"/>
                <w:sz w:val="18"/>
              </w:rPr>
              <w:t>NA</w:t>
            </w:r>
          </w:p>
        </w:tc>
        <w:tc>
          <w:tcPr>
            <w:tcW w:w="741" w:type="dxa"/>
          </w:tcPr>
          <w:p w:rsidR="00BF5273" w:rsidRPr="006C6738" w:rsidRDefault="00BF5273" w:rsidP="00A718E5">
            <w:pPr>
              <w:spacing w:after="120"/>
              <w:jc w:val="center"/>
              <w:rPr>
                <w:rFonts w:cs="Arial"/>
                <w:color w:val="00B050"/>
                <w:sz w:val="18"/>
              </w:rPr>
            </w:pPr>
            <w:r w:rsidRPr="006C6738">
              <w:rPr>
                <w:rFonts w:cs="Arial"/>
                <w:color w:val="00B050"/>
                <w:sz w:val="18"/>
              </w:rPr>
              <w:t>1</w:t>
            </w:r>
          </w:p>
        </w:tc>
        <w:tc>
          <w:tcPr>
            <w:tcW w:w="741" w:type="dxa"/>
          </w:tcPr>
          <w:p w:rsidR="00BF5273" w:rsidRPr="006C6738" w:rsidRDefault="00BF5273" w:rsidP="00A718E5">
            <w:pPr>
              <w:spacing w:after="120"/>
              <w:jc w:val="center"/>
              <w:rPr>
                <w:rFonts w:cs="Arial"/>
                <w:color w:val="00B050"/>
                <w:sz w:val="18"/>
              </w:rPr>
            </w:pPr>
            <w:r w:rsidRPr="006C6738">
              <w:rPr>
                <w:rFonts w:cs="Arial"/>
                <w:color w:val="00B050"/>
                <w:sz w:val="18"/>
              </w:rPr>
              <w:t>6</w:t>
            </w:r>
          </w:p>
        </w:tc>
      </w:tr>
      <w:tr w:rsidR="00BF5273" w:rsidRPr="006C6738" w:rsidTr="00A718E5">
        <w:tc>
          <w:tcPr>
            <w:tcW w:w="2521" w:type="dxa"/>
            <w:vMerge/>
          </w:tcPr>
          <w:p w:rsidR="00BF5273" w:rsidRPr="00621BF1" w:rsidRDefault="00BF5273" w:rsidP="00A718E5">
            <w:pPr>
              <w:spacing w:after="120"/>
              <w:rPr>
                <w:rFonts w:cs="Arial"/>
                <w:sz w:val="20"/>
              </w:rPr>
            </w:pPr>
          </w:p>
        </w:tc>
        <w:tc>
          <w:tcPr>
            <w:tcW w:w="1582" w:type="dxa"/>
          </w:tcPr>
          <w:p w:rsidR="00BF5273" w:rsidRPr="00621BF1" w:rsidRDefault="00BF5273" w:rsidP="00A718E5">
            <w:pPr>
              <w:spacing w:after="120"/>
              <w:jc w:val="both"/>
              <w:rPr>
                <w:rFonts w:cs="Arial"/>
                <w:sz w:val="20"/>
              </w:rPr>
            </w:pPr>
            <w:r w:rsidRPr="00621BF1">
              <w:rPr>
                <w:rFonts w:cs="Arial"/>
                <w:sz w:val="20"/>
              </w:rPr>
              <w:t>Plus de 90%</w:t>
            </w:r>
          </w:p>
        </w:tc>
        <w:tc>
          <w:tcPr>
            <w:tcW w:w="897" w:type="dxa"/>
          </w:tcPr>
          <w:p w:rsidR="00BF5273" w:rsidRPr="00621BF1" w:rsidRDefault="00BF5273" w:rsidP="00A718E5">
            <w:pPr>
              <w:spacing w:after="120"/>
              <w:jc w:val="center"/>
              <w:rPr>
                <w:rFonts w:cs="Arial"/>
                <w:sz w:val="20"/>
              </w:rPr>
            </w:pPr>
            <w:r w:rsidRPr="00621BF1">
              <w:rPr>
                <w:rFonts w:cs="Arial"/>
                <w:sz w:val="20"/>
              </w:rPr>
              <w:t>21</w:t>
            </w:r>
          </w:p>
        </w:tc>
        <w:tc>
          <w:tcPr>
            <w:tcW w:w="897" w:type="dxa"/>
          </w:tcPr>
          <w:p w:rsidR="00BF5273" w:rsidRPr="00621BF1" w:rsidRDefault="00BF5273" w:rsidP="00A718E5">
            <w:pPr>
              <w:spacing w:after="120"/>
              <w:jc w:val="center"/>
              <w:rPr>
                <w:rFonts w:cs="Arial"/>
                <w:sz w:val="20"/>
              </w:rPr>
            </w:pPr>
            <w:r w:rsidRPr="00621BF1">
              <w:rPr>
                <w:rFonts w:cs="Arial"/>
                <w:sz w:val="20"/>
              </w:rPr>
              <w:t>23</w:t>
            </w:r>
          </w:p>
        </w:tc>
        <w:tc>
          <w:tcPr>
            <w:tcW w:w="897" w:type="dxa"/>
          </w:tcPr>
          <w:p w:rsidR="00BF5273" w:rsidRPr="00621BF1" w:rsidRDefault="00BF5273" w:rsidP="00A718E5">
            <w:pPr>
              <w:spacing w:after="120"/>
              <w:jc w:val="center"/>
              <w:rPr>
                <w:rFonts w:cs="Arial"/>
                <w:sz w:val="20"/>
              </w:rPr>
            </w:pPr>
            <w:r w:rsidRPr="00621BF1">
              <w:rPr>
                <w:rFonts w:cs="Arial"/>
                <w:sz w:val="20"/>
              </w:rPr>
              <w:t>19</w:t>
            </w:r>
          </w:p>
        </w:tc>
        <w:tc>
          <w:tcPr>
            <w:tcW w:w="897" w:type="dxa"/>
          </w:tcPr>
          <w:p w:rsidR="00BF5273" w:rsidRPr="00621BF1" w:rsidRDefault="00BF5273" w:rsidP="00A718E5">
            <w:pPr>
              <w:spacing w:after="120"/>
              <w:jc w:val="center"/>
              <w:rPr>
                <w:rFonts w:cs="Arial"/>
                <w:sz w:val="18"/>
              </w:rPr>
            </w:pPr>
            <w:r w:rsidRPr="00621BF1">
              <w:rPr>
                <w:rFonts w:cs="Arial"/>
                <w:sz w:val="18"/>
              </w:rPr>
              <w:t>NA</w:t>
            </w:r>
          </w:p>
        </w:tc>
        <w:tc>
          <w:tcPr>
            <w:tcW w:w="897" w:type="dxa"/>
          </w:tcPr>
          <w:p w:rsidR="00BF5273" w:rsidRPr="00621BF1" w:rsidRDefault="00BF5273" w:rsidP="00A718E5">
            <w:pPr>
              <w:spacing w:after="120"/>
              <w:jc w:val="center"/>
              <w:rPr>
                <w:rFonts w:cs="Arial"/>
                <w:sz w:val="18"/>
              </w:rPr>
            </w:pPr>
            <w:r w:rsidRPr="00621BF1">
              <w:rPr>
                <w:rFonts w:cs="Arial"/>
                <w:sz w:val="18"/>
              </w:rPr>
              <w:t>NA</w:t>
            </w:r>
          </w:p>
        </w:tc>
        <w:tc>
          <w:tcPr>
            <w:tcW w:w="741" w:type="dxa"/>
          </w:tcPr>
          <w:p w:rsidR="00BF5273" w:rsidRPr="006C6738" w:rsidRDefault="00BF5273" w:rsidP="00A718E5">
            <w:pPr>
              <w:spacing w:after="120"/>
              <w:jc w:val="center"/>
              <w:rPr>
                <w:rFonts w:cs="Arial"/>
                <w:color w:val="00B050"/>
                <w:sz w:val="18"/>
              </w:rPr>
            </w:pPr>
            <w:r w:rsidRPr="006C6738">
              <w:rPr>
                <w:rFonts w:cs="Arial"/>
                <w:color w:val="00B050"/>
                <w:sz w:val="18"/>
              </w:rPr>
              <w:t>2</w:t>
            </w:r>
          </w:p>
        </w:tc>
        <w:tc>
          <w:tcPr>
            <w:tcW w:w="741" w:type="dxa"/>
          </w:tcPr>
          <w:p w:rsidR="00BF5273" w:rsidRPr="006C6738" w:rsidRDefault="00BF5273" w:rsidP="00A718E5">
            <w:pPr>
              <w:spacing w:after="120"/>
              <w:jc w:val="center"/>
              <w:rPr>
                <w:rFonts w:cs="Arial"/>
                <w:color w:val="00B050"/>
                <w:sz w:val="18"/>
              </w:rPr>
            </w:pPr>
            <w:r w:rsidRPr="006C6738">
              <w:rPr>
                <w:rFonts w:cs="Arial"/>
                <w:color w:val="00B050"/>
                <w:sz w:val="18"/>
              </w:rPr>
              <w:t>4</w:t>
            </w:r>
          </w:p>
        </w:tc>
      </w:tr>
    </w:tbl>
    <w:p w:rsidR="00BF5273" w:rsidRPr="00536D43" w:rsidRDefault="00BF5273" w:rsidP="00BF5273">
      <w:pPr>
        <w:rPr>
          <w:lang w:val="fr-BE" w:eastAsia="fr-FR"/>
        </w:rPr>
      </w:pPr>
    </w:p>
    <w:p w:rsidR="00BF5273" w:rsidRPr="00621BF1" w:rsidRDefault="00BF5273" w:rsidP="00BF5273">
      <w:pPr>
        <w:pStyle w:val="Lgende"/>
        <w:spacing w:after="120"/>
        <w:rPr>
          <w:b/>
          <w:i w:val="0"/>
          <w:sz w:val="4"/>
          <w:szCs w:val="22"/>
        </w:rPr>
      </w:pPr>
    </w:p>
    <w:p w:rsidR="00BF5273" w:rsidRPr="00621BF1" w:rsidRDefault="00BF5273" w:rsidP="00BF5273">
      <w:pPr>
        <w:pStyle w:val="Titre4"/>
      </w:pPr>
      <w:r w:rsidRPr="00621BF1">
        <w:t>Equité de la vaccination</w:t>
      </w:r>
    </w:p>
    <w:p w:rsidR="00BF5273" w:rsidRDefault="00BF5273" w:rsidP="00BF5273">
      <w:pPr>
        <w:autoSpaceDE w:val="0"/>
        <w:autoSpaceDN w:val="0"/>
        <w:adjustRightInd w:val="0"/>
        <w:spacing w:after="120"/>
        <w:jc w:val="both"/>
        <w:rPr>
          <w:rFonts w:cs="Arial"/>
          <w:bCs/>
        </w:rPr>
      </w:pPr>
      <w:r w:rsidRPr="00621BF1">
        <w:rPr>
          <w:rFonts w:cs="Arial"/>
          <w:bCs/>
        </w:rPr>
        <w:t>En Guinée les résultats de l’EDS de 2005 et 2012 montrent que la proportion de fille complètement vaccinée est très proche de celui des garçons (36% contre 39%). La couverture vaccinale diminue avec le rang de naissance et est plus élevée en milieu urbain que rural.  La couverture vaccinale augmente avec le niveau d’instruction de la mère et le niveau économique du ménage.</w:t>
      </w:r>
    </w:p>
    <w:p w:rsidR="00BF5273" w:rsidRPr="009A0193" w:rsidRDefault="00BF5273" w:rsidP="00BF5273">
      <w:pPr>
        <w:autoSpaceDE w:val="0"/>
        <w:autoSpaceDN w:val="0"/>
        <w:adjustRightInd w:val="0"/>
        <w:spacing w:after="120"/>
        <w:jc w:val="both"/>
        <w:rPr>
          <w:rFonts w:cs="Arial"/>
          <w:bCs/>
          <w:color w:val="00B050"/>
        </w:rPr>
      </w:pPr>
      <w:r w:rsidRPr="009A0193">
        <w:rPr>
          <w:rFonts w:ascii="Arial" w:hAnsi="Arial" w:cs="Arial"/>
          <w:color w:val="00B050"/>
          <w:sz w:val="20"/>
          <w:lang w:val="fr-CH"/>
        </w:rPr>
        <w:t>Considérant la proportion d’enfants complètement vaccinés, l’enquête MICS, 2016 met en exergue des disparités considérables selon le lieu de résidence. A ce niveau, 43% des enfants de 12-23 mois des grandes villes ont reçu tous les antigènes du PEV de routine contre 19% pour le milieu rural. Par contre 36% de la même cible du milieu rural n’ont reçu aucune dose de vaccin. La disparité est prononcée entre les régions administratives du pays, avec 46% des enfants de la région de Conakry qui ont reçu tous les antigènes contre 7% pour la région de Labé. Elle varie en fonction du quintile du bienêtre-économique, 34% des plus riches ont reçu tous les antigènes contre les 10% des enfants des plus pauvres. Quant à l’examen selon le niveau d’instruction de la mère, le pourcentage croit en fonction de l’augmentation du niveau. La couverture vaccinale varie de 21%, pour les enfants dont les mères n’ont aucun niveau d’instruction à 47%, pour ceux dont les mères ont un niveau d’instruction secondaire et plus</w:t>
      </w:r>
    </w:p>
    <w:p w:rsidR="00BF5273" w:rsidRPr="00621BF1" w:rsidRDefault="00BF5273" w:rsidP="00BF5273">
      <w:pPr>
        <w:autoSpaceDE w:val="0"/>
        <w:autoSpaceDN w:val="0"/>
        <w:adjustRightInd w:val="0"/>
        <w:spacing w:after="120"/>
        <w:jc w:val="both"/>
        <w:rPr>
          <w:rFonts w:cs="Arial"/>
          <w:bCs/>
        </w:rPr>
      </w:pPr>
    </w:p>
    <w:p w:rsidR="00BF5273" w:rsidRPr="000804D3" w:rsidRDefault="00BF5273" w:rsidP="00BF5273">
      <w:pPr>
        <w:pStyle w:val="Titre4"/>
      </w:pPr>
      <w:r w:rsidRPr="00CA5E4B">
        <w:t>Introduction de nouveaux vaccins</w:t>
      </w:r>
    </w:p>
    <w:p w:rsidR="00BF5273" w:rsidRPr="00621BF1" w:rsidRDefault="00BF5273" w:rsidP="00BF5273">
      <w:pPr>
        <w:shd w:val="clear" w:color="auto" w:fill="FFFFFF"/>
        <w:spacing w:before="240" w:after="120"/>
        <w:jc w:val="both"/>
        <w:rPr>
          <w:rFonts w:cs="Arial"/>
          <w:bCs/>
        </w:rPr>
      </w:pPr>
      <w:r w:rsidRPr="00621BF1">
        <w:rPr>
          <w:rFonts w:cs="Arial"/>
          <w:bCs/>
        </w:rPr>
        <w:t>En dehors du VPI introduit en novembre 2015, tous les vaccins prévus dans le PPAC 2011-201</w:t>
      </w:r>
      <w:r>
        <w:rPr>
          <w:rFonts w:cs="Arial"/>
          <w:bCs/>
        </w:rPr>
        <w:t>7</w:t>
      </w:r>
      <w:r w:rsidRPr="00621BF1">
        <w:rPr>
          <w:rFonts w:cs="Arial"/>
          <w:bCs/>
        </w:rPr>
        <w:t xml:space="preserve"> (PCV13 et Rota Virus) n’ont pas été introduits. L</w:t>
      </w:r>
      <w:r>
        <w:rPr>
          <w:rFonts w:cs="Arial"/>
          <w:bCs/>
        </w:rPr>
        <w:t xml:space="preserve">a </w:t>
      </w:r>
      <w:r w:rsidRPr="00621BF1">
        <w:rPr>
          <w:rFonts w:cs="Arial"/>
          <w:bCs/>
        </w:rPr>
        <w:t xml:space="preserve">faible performance du PEV de routine </w:t>
      </w:r>
      <w:r>
        <w:rPr>
          <w:rFonts w:cs="Arial"/>
          <w:bCs/>
        </w:rPr>
        <w:t xml:space="preserve">avec une couverture vaccinale estimée en penta3 inférieure à la performance requise de 70% explique </w:t>
      </w:r>
      <w:proofErr w:type="gramStart"/>
      <w:r>
        <w:rPr>
          <w:rFonts w:cs="Arial"/>
          <w:bCs/>
        </w:rPr>
        <w:t>la</w:t>
      </w:r>
      <w:proofErr w:type="gramEnd"/>
      <w:r>
        <w:rPr>
          <w:rFonts w:cs="Arial"/>
          <w:bCs/>
        </w:rPr>
        <w:t xml:space="preserve"> non introduction de ces </w:t>
      </w:r>
      <w:r w:rsidRPr="00CA5E4B">
        <w:rPr>
          <w:rFonts w:cs="Arial"/>
          <w:bCs/>
        </w:rPr>
        <w:t>nouveaux vaccins</w:t>
      </w:r>
      <w:r>
        <w:rPr>
          <w:rFonts w:cs="Arial"/>
          <w:bCs/>
        </w:rPr>
        <w:t xml:space="preserve">. </w:t>
      </w:r>
      <w:r w:rsidRPr="00621BF1">
        <w:rPr>
          <w:rFonts w:cs="Arial"/>
          <w:bCs/>
        </w:rPr>
        <w:t xml:space="preserve">Le présent PPAC prévoit leur introduction ainsi que d’autres antigènes </w:t>
      </w:r>
      <w:r>
        <w:rPr>
          <w:rFonts w:cs="Arial"/>
          <w:bCs/>
        </w:rPr>
        <w:t xml:space="preserve">à savoir </w:t>
      </w:r>
      <w:r w:rsidRPr="00621BF1">
        <w:rPr>
          <w:rFonts w:cs="Arial"/>
          <w:bCs/>
        </w:rPr>
        <w:t xml:space="preserve">le VAR2, le RR, le Td, le </w:t>
      </w:r>
      <w:proofErr w:type="spellStart"/>
      <w:r w:rsidRPr="00621BF1">
        <w:rPr>
          <w:rFonts w:cs="Arial"/>
          <w:bCs/>
        </w:rPr>
        <w:lastRenderedPageBreak/>
        <w:t>MenAfriVac</w:t>
      </w:r>
      <w:proofErr w:type="spellEnd"/>
      <w:r>
        <w:rPr>
          <w:rFonts w:cs="Arial"/>
          <w:bCs/>
        </w:rPr>
        <w:t xml:space="preserve">, le rota virus, le vaccin PCV- 13, </w:t>
      </w:r>
      <w:proofErr w:type="spellStart"/>
      <w:r>
        <w:rPr>
          <w:rFonts w:cs="Arial"/>
          <w:bCs/>
        </w:rPr>
        <w:t>hepb</w:t>
      </w:r>
      <w:proofErr w:type="spellEnd"/>
      <w:r>
        <w:rPr>
          <w:rFonts w:cs="Arial"/>
          <w:bCs/>
        </w:rPr>
        <w:t xml:space="preserve"> à la naissance </w:t>
      </w:r>
      <w:r w:rsidRPr="00621BF1">
        <w:rPr>
          <w:rFonts w:cs="Arial"/>
          <w:bCs/>
        </w:rPr>
        <w:t xml:space="preserve">et le HPV. Le tableau ci-dessous présente </w:t>
      </w:r>
      <w:r w:rsidRPr="00CA5E4B">
        <w:rPr>
          <w:rFonts w:cs="Arial"/>
          <w:bCs/>
        </w:rPr>
        <w:t>le calendrier d’introduction de ces nouveaux vaccins</w:t>
      </w:r>
      <w:r w:rsidRPr="00621BF1">
        <w:rPr>
          <w:rFonts w:cs="Arial"/>
          <w:bCs/>
        </w:rPr>
        <w:t xml:space="preserve"> pour les enfants de 0 à 11 mois, les  femmes enceintes et les jeunes filles. </w:t>
      </w:r>
    </w:p>
    <w:p w:rsidR="00BF5273" w:rsidRDefault="00BF5273" w:rsidP="00BF5273">
      <w:pPr>
        <w:pStyle w:val="Lgende"/>
      </w:pPr>
      <w:r>
        <w:t xml:space="preserve">Tableau 7 : </w:t>
      </w:r>
      <w:r w:rsidRPr="003B6489">
        <w:t>Plan d’introduction des nouveaux vaccins</w:t>
      </w:r>
    </w:p>
    <w:tbl>
      <w:tblPr>
        <w:tblStyle w:val="Grilledutableau"/>
        <w:tblW w:w="5000" w:type="pct"/>
        <w:tblLook w:val="04A0" w:firstRow="1" w:lastRow="0" w:firstColumn="1" w:lastColumn="0" w:noHBand="0" w:noVBand="1"/>
      </w:tblPr>
      <w:tblGrid>
        <w:gridCol w:w="3380"/>
        <w:gridCol w:w="3669"/>
        <w:gridCol w:w="3247"/>
      </w:tblGrid>
      <w:tr w:rsidR="00BF5273" w:rsidRPr="00621BF1" w:rsidTr="00A718E5">
        <w:trPr>
          <w:trHeight w:val="503"/>
        </w:trPr>
        <w:tc>
          <w:tcPr>
            <w:tcW w:w="1641" w:type="pct"/>
            <w:shd w:val="clear" w:color="auto" w:fill="C45911" w:themeFill="accent2" w:themeFillShade="BF"/>
          </w:tcPr>
          <w:p w:rsidR="00BF5273" w:rsidRPr="00621BF1" w:rsidRDefault="00BF5273" w:rsidP="00A718E5">
            <w:pPr>
              <w:spacing w:after="0" w:line="240" w:lineRule="auto"/>
              <w:jc w:val="both"/>
              <w:rPr>
                <w:rFonts w:cs="Arial"/>
                <w:b/>
                <w:bCs/>
                <w:color w:val="FFFFFF" w:themeColor="background1"/>
              </w:rPr>
            </w:pPr>
            <w:r w:rsidRPr="00621BF1">
              <w:rPr>
                <w:rFonts w:cs="Arial"/>
                <w:b/>
                <w:bCs/>
                <w:color w:val="FFFFFF" w:themeColor="background1"/>
              </w:rPr>
              <w:t xml:space="preserve">Nouveau </w:t>
            </w:r>
            <w:r>
              <w:rPr>
                <w:rFonts w:cs="Arial"/>
                <w:b/>
                <w:bCs/>
                <w:color w:val="FFFFFF" w:themeColor="background1"/>
              </w:rPr>
              <w:t>antigens</w:t>
            </w:r>
          </w:p>
        </w:tc>
        <w:tc>
          <w:tcPr>
            <w:tcW w:w="1782" w:type="pct"/>
            <w:shd w:val="clear" w:color="auto" w:fill="C45911" w:themeFill="accent2" w:themeFillShade="BF"/>
          </w:tcPr>
          <w:p w:rsidR="00BF5273" w:rsidRPr="00621BF1" w:rsidRDefault="00BF5273" w:rsidP="00A718E5">
            <w:pPr>
              <w:spacing w:after="0" w:line="240" w:lineRule="auto"/>
              <w:jc w:val="both"/>
              <w:rPr>
                <w:rFonts w:cs="Arial"/>
                <w:b/>
                <w:bCs/>
                <w:color w:val="FFFFFF" w:themeColor="background1"/>
              </w:rPr>
            </w:pPr>
            <w:proofErr w:type="spellStart"/>
            <w:r w:rsidRPr="00621BF1">
              <w:rPr>
                <w:rFonts w:cs="Arial"/>
                <w:b/>
                <w:bCs/>
                <w:color w:val="FFFFFF" w:themeColor="background1"/>
              </w:rPr>
              <w:t>Cibles</w:t>
            </w:r>
            <w:proofErr w:type="spellEnd"/>
          </w:p>
        </w:tc>
        <w:tc>
          <w:tcPr>
            <w:tcW w:w="1577" w:type="pct"/>
            <w:shd w:val="clear" w:color="auto" w:fill="C45911" w:themeFill="accent2" w:themeFillShade="BF"/>
          </w:tcPr>
          <w:p w:rsidR="00BF5273" w:rsidRPr="00621BF1" w:rsidRDefault="00BF5273" w:rsidP="00A718E5">
            <w:pPr>
              <w:spacing w:after="0" w:line="240" w:lineRule="auto"/>
              <w:jc w:val="both"/>
              <w:rPr>
                <w:rFonts w:cs="Arial"/>
                <w:b/>
                <w:bCs/>
                <w:color w:val="FFFFFF" w:themeColor="background1"/>
              </w:rPr>
            </w:pPr>
            <w:r w:rsidRPr="00621BF1">
              <w:rPr>
                <w:rFonts w:cs="Arial"/>
                <w:b/>
                <w:bCs/>
                <w:color w:val="FFFFFF" w:themeColor="background1"/>
              </w:rPr>
              <w:t>Date introduction</w:t>
            </w:r>
          </w:p>
        </w:tc>
      </w:tr>
      <w:tr w:rsidR="00BF5273" w:rsidRPr="00B902B4" w:rsidTr="00A718E5">
        <w:trPr>
          <w:trHeight w:val="377"/>
        </w:trPr>
        <w:tc>
          <w:tcPr>
            <w:tcW w:w="1641" w:type="pct"/>
          </w:tcPr>
          <w:p w:rsidR="00BF5273" w:rsidRPr="00B902B4" w:rsidRDefault="00BF5273" w:rsidP="00A718E5">
            <w:pPr>
              <w:spacing w:after="0" w:line="240" w:lineRule="auto"/>
              <w:jc w:val="both"/>
              <w:rPr>
                <w:rFonts w:cs="Arial"/>
                <w:bCs/>
                <w:color w:val="00B050"/>
              </w:rPr>
            </w:pPr>
            <w:proofErr w:type="spellStart"/>
            <w:r w:rsidRPr="00B902B4">
              <w:rPr>
                <w:rFonts w:cs="Arial"/>
                <w:bCs/>
                <w:color w:val="00B050"/>
              </w:rPr>
              <w:t>Hepb</w:t>
            </w:r>
            <w:proofErr w:type="spellEnd"/>
          </w:p>
        </w:tc>
        <w:tc>
          <w:tcPr>
            <w:tcW w:w="1782" w:type="pct"/>
          </w:tcPr>
          <w:p w:rsidR="00BF5273" w:rsidRPr="00B902B4" w:rsidRDefault="00BF5273" w:rsidP="00A718E5">
            <w:pPr>
              <w:spacing w:after="0" w:line="240" w:lineRule="auto"/>
              <w:rPr>
                <w:rFonts w:cs="Arial"/>
                <w:bCs/>
                <w:color w:val="00B050"/>
              </w:rPr>
            </w:pPr>
            <w:r w:rsidRPr="00B902B4">
              <w:rPr>
                <w:rFonts w:cs="Arial"/>
                <w:bCs/>
                <w:color w:val="00B050"/>
              </w:rPr>
              <w:t xml:space="preserve">              </w:t>
            </w:r>
            <w:proofErr w:type="spellStart"/>
            <w:r w:rsidRPr="00B902B4">
              <w:rPr>
                <w:rFonts w:cs="Arial"/>
                <w:bCs/>
                <w:color w:val="00B050"/>
              </w:rPr>
              <w:t>Dès</w:t>
            </w:r>
            <w:proofErr w:type="spellEnd"/>
            <w:r w:rsidRPr="00B902B4">
              <w:rPr>
                <w:rFonts w:cs="Arial"/>
                <w:bCs/>
                <w:color w:val="00B050"/>
              </w:rPr>
              <w:t xml:space="preserve">  la naissance </w:t>
            </w:r>
          </w:p>
        </w:tc>
        <w:tc>
          <w:tcPr>
            <w:tcW w:w="1577" w:type="pct"/>
            <w:shd w:val="clear" w:color="auto" w:fill="auto"/>
          </w:tcPr>
          <w:p w:rsidR="00BF5273" w:rsidRPr="00B902B4" w:rsidRDefault="00BF5273" w:rsidP="00A718E5">
            <w:pPr>
              <w:spacing w:after="0" w:line="240" w:lineRule="auto"/>
              <w:jc w:val="center"/>
              <w:rPr>
                <w:rFonts w:cs="Arial"/>
                <w:bCs/>
                <w:color w:val="00B050"/>
              </w:rPr>
            </w:pPr>
            <w:r w:rsidRPr="00B902B4">
              <w:rPr>
                <w:rFonts w:cs="Arial"/>
                <w:bCs/>
                <w:color w:val="00B050"/>
              </w:rPr>
              <w:t>2019</w:t>
            </w:r>
          </w:p>
        </w:tc>
      </w:tr>
      <w:tr w:rsidR="00BF5273" w:rsidRPr="00B902B4" w:rsidTr="00A718E5">
        <w:trPr>
          <w:trHeight w:val="377"/>
        </w:trPr>
        <w:tc>
          <w:tcPr>
            <w:tcW w:w="1641" w:type="pct"/>
          </w:tcPr>
          <w:p w:rsidR="00BF5273" w:rsidRPr="00621BF1" w:rsidRDefault="00BF5273" w:rsidP="00A718E5">
            <w:pPr>
              <w:spacing w:after="0" w:line="240" w:lineRule="auto"/>
              <w:jc w:val="both"/>
              <w:rPr>
                <w:rFonts w:cs="Arial"/>
                <w:bCs/>
              </w:rPr>
            </w:pPr>
            <w:r w:rsidRPr="00621BF1">
              <w:rPr>
                <w:rFonts w:cs="Arial"/>
                <w:bCs/>
              </w:rPr>
              <w:t>PCV-13</w:t>
            </w:r>
          </w:p>
        </w:tc>
        <w:tc>
          <w:tcPr>
            <w:tcW w:w="1782" w:type="pct"/>
          </w:tcPr>
          <w:p w:rsidR="00BF5273" w:rsidRPr="00621BF1" w:rsidRDefault="00BF5273" w:rsidP="00A718E5">
            <w:pPr>
              <w:spacing w:after="0" w:line="240" w:lineRule="auto"/>
              <w:jc w:val="center"/>
              <w:rPr>
                <w:rFonts w:cs="Arial"/>
                <w:bCs/>
              </w:rPr>
            </w:pPr>
            <w:r w:rsidRPr="00621BF1">
              <w:rPr>
                <w:rFonts w:cs="Arial"/>
                <w:bCs/>
              </w:rPr>
              <w:t xml:space="preserve">0 -11 </w:t>
            </w:r>
            <w:proofErr w:type="spellStart"/>
            <w:r w:rsidRPr="00621BF1">
              <w:rPr>
                <w:rFonts w:cs="Arial"/>
                <w:bCs/>
              </w:rPr>
              <w:t>mois</w:t>
            </w:r>
            <w:proofErr w:type="spellEnd"/>
          </w:p>
        </w:tc>
        <w:tc>
          <w:tcPr>
            <w:tcW w:w="1577" w:type="pct"/>
            <w:shd w:val="clear" w:color="auto" w:fill="auto"/>
          </w:tcPr>
          <w:p w:rsidR="00BF5273" w:rsidRPr="00B902B4" w:rsidRDefault="00BF5273" w:rsidP="00A718E5">
            <w:pPr>
              <w:spacing w:after="0" w:line="240" w:lineRule="auto"/>
              <w:jc w:val="center"/>
              <w:rPr>
                <w:rFonts w:cs="Arial"/>
                <w:bCs/>
                <w:color w:val="00B050"/>
              </w:rPr>
            </w:pPr>
            <w:r w:rsidRPr="00B902B4">
              <w:rPr>
                <w:rFonts w:cs="Arial"/>
                <w:bCs/>
                <w:color w:val="00B050"/>
              </w:rPr>
              <w:t>2020</w:t>
            </w:r>
          </w:p>
        </w:tc>
      </w:tr>
      <w:tr w:rsidR="00BF5273" w:rsidRPr="00B902B4" w:rsidTr="00A718E5">
        <w:tc>
          <w:tcPr>
            <w:tcW w:w="1641" w:type="pct"/>
          </w:tcPr>
          <w:p w:rsidR="00BF5273" w:rsidRPr="00621BF1" w:rsidRDefault="00BF5273" w:rsidP="00A718E5">
            <w:pPr>
              <w:spacing w:after="0" w:line="240" w:lineRule="auto"/>
              <w:jc w:val="both"/>
              <w:rPr>
                <w:rFonts w:cs="Arial"/>
                <w:bCs/>
              </w:rPr>
            </w:pPr>
            <w:r w:rsidRPr="00621BF1">
              <w:rPr>
                <w:rFonts w:cs="Arial"/>
                <w:bCs/>
              </w:rPr>
              <w:t>Rota Virus</w:t>
            </w:r>
          </w:p>
        </w:tc>
        <w:tc>
          <w:tcPr>
            <w:tcW w:w="1782" w:type="pct"/>
          </w:tcPr>
          <w:p w:rsidR="00BF5273" w:rsidRPr="00621BF1" w:rsidRDefault="00BF5273" w:rsidP="00A718E5">
            <w:pPr>
              <w:spacing w:after="0" w:line="240" w:lineRule="auto"/>
              <w:jc w:val="center"/>
            </w:pPr>
            <w:r w:rsidRPr="00621BF1">
              <w:rPr>
                <w:rFonts w:cs="Arial"/>
                <w:bCs/>
              </w:rPr>
              <w:t xml:space="preserve">0 -11 </w:t>
            </w:r>
            <w:proofErr w:type="spellStart"/>
            <w:r w:rsidRPr="00621BF1">
              <w:rPr>
                <w:rFonts w:cs="Arial"/>
                <w:bCs/>
              </w:rPr>
              <w:t>mois</w:t>
            </w:r>
            <w:proofErr w:type="spellEnd"/>
          </w:p>
        </w:tc>
        <w:tc>
          <w:tcPr>
            <w:tcW w:w="1577" w:type="pct"/>
            <w:shd w:val="clear" w:color="auto" w:fill="auto"/>
          </w:tcPr>
          <w:p w:rsidR="00BF5273" w:rsidRPr="00B902B4" w:rsidRDefault="00BF5273" w:rsidP="00A718E5">
            <w:pPr>
              <w:spacing w:after="0" w:line="240" w:lineRule="auto"/>
              <w:jc w:val="center"/>
              <w:rPr>
                <w:rFonts w:cs="Arial"/>
                <w:bCs/>
                <w:color w:val="00B050"/>
              </w:rPr>
            </w:pPr>
            <w:r w:rsidRPr="00B902B4">
              <w:rPr>
                <w:rFonts w:cs="Arial"/>
                <w:bCs/>
                <w:color w:val="00B050"/>
              </w:rPr>
              <w:t>2020</w:t>
            </w:r>
          </w:p>
        </w:tc>
      </w:tr>
      <w:tr w:rsidR="00BF5273" w:rsidRPr="00B902B4" w:rsidTr="00A718E5">
        <w:trPr>
          <w:trHeight w:val="422"/>
        </w:trPr>
        <w:tc>
          <w:tcPr>
            <w:tcW w:w="1641" w:type="pct"/>
          </w:tcPr>
          <w:p w:rsidR="00BF5273" w:rsidRPr="00621BF1" w:rsidRDefault="00BF5273" w:rsidP="00A718E5">
            <w:pPr>
              <w:spacing w:after="0" w:line="240" w:lineRule="auto"/>
              <w:jc w:val="both"/>
              <w:rPr>
                <w:rFonts w:cs="Arial"/>
                <w:bCs/>
              </w:rPr>
            </w:pPr>
            <w:r w:rsidRPr="00621BF1">
              <w:rPr>
                <w:rFonts w:cs="Arial"/>
                <w:bCs/>
              </w:rPr>
              <w:t>RR</w:t>
            </w:r>
          </w:p>
        </w:tc>
        <w:tc>
          <w:tcPr>
            <w:tcW w:w="1782" w:type="pct"/>
          </w:tcPr>
          <w:p w:rsidR="00BF5273" w:rsidRPr="00621BF1" w:rsidRDefault="00BF5273" w:rsidP="00A718E5">
            <w:pPr>
              <w:spacing w:after="0" w:line="240" w:lineRule="auto"/>
              <w:jc w:val="center"/>
            </w:pPr>
            <w:r w:rsidRPr="00621BF1">
              <w:rPr>
                <w:rFonts w:cs="Arial"/>
                <w:bCs/>
              </w:rPr>
              <w:t xml:space="preserve">0 -11 </w:t>
            </w:r>
            <w:proofErr w:type="spellStart"/>
            <w:r w:rsidRPr="00621BF1">
              <w:rPr>
                <w:rFonts w:cs="Arial"/>
                <w:bCs/>
              </w:rPr>
              <w:t>mois</w:t>
            </w:r>
            <w:proofErr w:type="spellEnd"/>
          </w:p>
        </w:tc>
        <w:tc>
          <w:tcPr>
            <w:tcW w:w="1577" w:type="pct"/>
            <w:shd w:val="clear" w:color="auto" w:fill="auto"/>
          </w:tcPr>
          <w:p w:rsidR="00BF5273" w:rsidRPr="00B902B4" w:rsidRDefault="00BF5273" w:rsidP="00A718E5">
            <w:pPr>
              <w:spacing w:after="0" w:line="240" w:lineRule="auto"/>
              <w:jc w:val="center"/>
              <w:rPr>
                <w:rFonts w:cs="Arial"/>
                <w:bCs/>
                <w:color w:val="00B050"/>
              </w:rPr>
            </w:pPr>
            <w:r w:rsidRPr="00B902B4">
              <w:rPr>
                <w:rFonts w:cs="Arial"/>
                <w:bCs/>
                <w:color w:val="00B050"/>
              </w:rPr>
              <w:t>2020</w:t>
            </w:r>
          </w:p>
        </w:tc>
      </w:tr>
      <w:tr w:rsidR="00BF5273" w:rsidRPr="00B902B4" w:rsidTr="00A718E5">
        <w:trPr>
          <w:trHeight w:val="422"/>
        </w:trPr>
        <w:tc>
          <w:tcPr>
            <w:tcW w:w="1641" w:type="pct"/>
          </w:tcPr>
          <w:p w:rsidR="00BF5273" w:rsidRPr="00621BF1" w:rsidRDefault="00BF5273" w:rsidP="00A718E5">
            <w:pPr>
              <w:spacing w:after="0" w:line="240" w:lineRule="auto"/>
              <w:jc w:val="both"/>
              <w:rPr>
                <w:rFonts w:cs="Arial"/>
                <w:bCs/>
              </w:rPr>
            </w:pPr>
            <w:r>
              <w:rPr>
                <w:rFonts w:cs="Arial"/>
                <w:bCs/>
              </w:rPr>
              <w:t>VAR2</w:t>
            </w:r>
          </w:p>
        </w:tc>
        <w:tc>
          <w:tcPr>
            <w:tcW w:w="1782" w:type="pct"/>
          </w:tcPr>
          <w:p w:rsidR="00BF5273" w:rsidRPr="00621BF1" w:rsidRDefault="00BF5273" w:rsidP="00A718E5">
            <w:pPr>
              <w:spacing w:after="0" w:line="240" w:lineRule="auto"/>
              <w:jc w:val="center"/>
              <w:rPr>
                <w:rFonts w:cs="Arial"/>
                <w:bCs/>
              </w:rPr>
            </w:pPr>
            <w:r>
              <w:rPr>
                <w:rFonts w:cs="Arial"/>
                <w:bCs/>
              </w:rPr>
              <w:t xml:space="preserve">15 – 18 </w:t>
            </w:r>
            <w:proofErr w:type="spellStart"/>
            <w:r>
              <w:rPr>
                <w:rFonts w:cs="Arial"/>
                <w:bCs/>
              </w:rPr>
              <w:t>mois</w:t>
            </w:r>
            <w:proofErr w:type="spellEnd"/>
          </w:p>
        </w:tc>
        <w:tc>
          <w:tcPr>
            <w:tcW w:w="1577" w:type="pct"/>
            <w:shd w:val="clear" w:color="auto" w:fill="auto"/>
          </w:tcPr>
          <w:p w:rsidR="00BF5273" w:rsidRPr="00B902B4" w:rsidRDefault="00BF5273" w:rsidP="00A718E5">
            <w:pPr>
              <w:spacing w:after="0" w:line="240" w:lineRule="auto"/>
              <w:jc w:val="center"/>
              <w:rPr>
                <w:rFonts w:cs="Arial"/>
                <w:bCs/>
                <w:color w:val="00B050"/>
              </w:rPr>
            </w:pPr>
            <w:r w:rsidRPr="00B902B4">
              <w:rPr>
                <w:rFonts w:cs="Arial"/>
                <w:bCs/>
                <w:color w:val="00B050"/>
              </w:rPr>
              <w:t>2019</w:t>
            </w:r>
          </w:p>
        </w:tc>
      </w:tr>
      <w:tr w:rsidR="00BF5273" w:rsidRPr="00B902B4" w:rsidTr="00A718E5">
        <w:tc>
          <w:tcPr>
            <w:tcW w:w="1641" w:type="pct"/>
          </w:tcPr>
          <w:p w:rsidR="00BF5273" w:rsidRPr="00621BF1" w:rsidRDefault="00BF5273" w:rsidP="00A718E5">
            <w:pPr>
              <w:spacing w:after="0" w:line="240" w:lineRule="auto"/>
              <w:jc w:val="both"/>
              <w:rPr>
                <w:rFonts w:cs="Arial"/>
                <w:bCs/>
              </w:rPr>
            </w:pPr>
            <w:proofErr w:type="spellStart"/>
            <w:r w:rsidRPr="00621BF1">
              <w:rPr>
                <w:rFonts w:cs="Arial"/>
                <w:bCs/>
              </w:rPr>
              <w:t>MenAfriVac</w:t>
            </w:r>
            <w:proofErr w:type="spellEnd"/>
            <w:r w:rsidRPr="00621BF1">
              <w:rPr>
                <w:rFonts w:cs="Arial"/>
                <w:bCs/>
              </w:rPr>
              <w:t xml:space="preserve"> </w:t>
            </w:r>
          </w:p>
        </w:tc>
        <w:tc>
          <w:tcPr>
            <w:tcW w:w="1782" w:type="pct"/>
          </w:tcPr>
          <w:p w:rsidR="00BF5273" w:rsidRPr="00621BF1" w:rsidRDefault="00BF5273" w:rsidP="00A718E5">
            <w:pPr>
              <w:spacing w:after="0" w:line="240" w:lineRule="auto"/>
              <w:jc w:val="center"/>
              <w:rPr>
                <w:rFonts w:cs="Arial"/>
                <w:bCs/>
              </w:rPr>
            </w:pPr>
            <w:r w:rsidRPr="00E754BC">
              <w:rPr>
                <w:rFonts w:cs="Arial"/>
                <w:bCs/>
                <w:color w:val="FF0000"/>
              </w:rPr>
              <w:t xml:space="preserve">0 -11 </w:t>
            </w:r>
            <w:proofErr w:type="spellStart"/>
            <w:r w:rsidRPr="00E754BC">
              <w:rPr>
                <w:rFonts w:cs="Arial"/>
                <w:bCs/>
                <w:color w:val="FF0000"/>
              </w:rPr>
              <w:t>mois</w:t>
            </w:r>
            <w:proofErr w:type="spellEnd"/>
          </w:p>
        </w:tc>
        <w:tc>
          <w:tcPr>
            <w:tcW w:w="1577" w:type="pct"/>
            <w:shd w:val="clear" w:color="auto" w:fill="auto"/>
          </w:tcPr>
          <w:p w:rsidR="00BF5273" w:rsidRPr="00B902B4" w:rsidRDefault="00E754BC" w:rsidP="00A718E5">
            <w:pPr>
              <w:spacing w:after="0" w:line="240" w:lineRule="auto"/>
              <w:jc w:val="center"/>
              <w:rPr>
                <w:rFonts w:cs="Arial"/>
                <w:bCs/>
                <w:color w:val="00B050"/>
              </w:rPr>
            </w:pPr>
            <w:r w:rsidRPr="00E754BC">
              <w:rPr>
                <w:rFonts w:cs="Arial"/>
                <w:bCs/>
                <w:color w:val="FF0000"/>
              </w:rPr>
              <w:t>2020</w:t>
            </w:r>
          </w:p>
        </w:tc>
      </w:tr>
      <w:tr w:rsidR="00BF5273" w:rsidRPr="00B902B4" w:rsidTr="00A718E5">
        <w:tc>
          <w:tcPr>
            <w:tcW w:w="1641" w:type="pct"/>
          </w:tcPr>
          <w:p w:rsidR="00BF5273" w:rsidRPr="00621BF1" w:rsidRDefault="00BF5273" w:rsidP="00A718E5">
            <w:pPr>
              <w:spacing w:after="0" w:line="240" w:lineRule="auto"/>
              <w:jc w:val="both"/>
              <w:rPr>
                <w:rFonts w:cs="Arial"/>
                <w:bCs/>
              </w:rPr>
            </w:pPr>
            <w:r w:rsidRPr="00621BF1">
              <w:rPr>
                <w:rFonts w:cs="Arial"/>
                <w:bCs/>
              </w:rPr>
              <w:t>Td</w:t>
            </w:r>
          </w:p>
        </w:tc>
        <w:tc>
          <w:tcPr>
            <w:tcW w:w="1782" w:type="pct"/>
          </w:tcPr>
          <w:p w:rsidR="00BF5273" w:rsidRPr="00621BF1" w:rsidRDefault="00BF5273" w:rsidP="00A718E5">
            <w:pPr>
              <w:spacing w:after="0" w:line="240" w:lineRule="auto"/>
              <w:jc w:val="center"/>
              <w:rPr>
                <w:rFonts w:cs="Arial"/>
                <w:bCs/>
              </w:rPr>
            </w:pPr>
            <w:r w:rsidRPr="00621BF1">
              <w:rPr>
                <w:rFonts w:cs="Arial"/>
                <w:bCs/>
              </w:rPr>
              <w:t xml:space="preserve">15 – 49 </w:t>
            </w:r>
            <w:proofErr w:type="spellStart"/>
            <w:r w:rsidRPr="00621BF1">
              <w:rPr>
                <w:rFonts w:cs="Arial"/>
                <w:bCs/>
              </w:rPr>
              <w:t>ans</w:t>
            </w:r>
            <w:proofErr w:type="spellEnd"/>
          </w:p>
        </w:tc>
        <w:tc>
          <w:tcPr>
            <w:tcW w:w="1577" w:type="pct"/>
            <w:shd w:val="clear" w:color="auto" w:fill="auto"/>
          </w:tcPr>
          <w:p w:rsidR="00BF5273" w:rsidRPr="00B902B4" w:rsidRDefault="00BF5273" w:rsidP="00A718E5">
            <w:pPr>
              <w:spacing w:after="0" w:line="240" w:lineRule="auto"/>
              <w:jc w:val="center"/>
              <w:rPr>
                <w:rFonts w:cs="Arial"/>
                <w:bCs/>
                <w:color w:val="00B050"/>
              </w:rPr>
            </w:pPr>
            <w:r w:rsidRPr="00B902B4">
              <w:rPr>
                <w:rFonts w:cs="Arial"/>
                <w:bCs/>
                <w:color w:val="00B050"/>
              </w:rPr>
              <w:t>2017</w:t>
            </w:r>
          </w:p>
        </w:tc>
      </w:tr>
      <w:tr w:rsidR="00BF5273" w:rsidRPr="00B902B4" w:rsidTr="00A718E5">
        <w:tc>
          <w:tcPr>
            <w:tcW w:w="1641" w:type="pct"/>
          </w:tcPr>
          <w:p w:rsidR="00BF5273" w:rsidRPr="00621BF1" w:rsidRDefault="00BF5273" w:rsidP="00A718E5">
            <w:pPr>
              <w:spacing w:after="0" w:line="240" w:lineRule="auto"/>
              <w:jc w:val="both"/>
              <w:rPr>
                <w:rFonts w:cs="Arial"/>
                <w:bCs/>
              </w:rPr>
            </w:pPr>
            <w:r w:rsidRPr="00621BF1">
              <w:rPr>
                <w:rFonts w:cs="Arial"/>
                <w:bCs/>
              </w:rPr>
              <w:t>HPV</w:t>
            </w:r>
          </w:p>
        </w:tc>
        <w:tc>
          <w:tcPr>
            <w:tcW w:w="1782" w:type="pct"/>
          </w:tcPr>
          <w:p w:rsidR="00BF5273" w:rsidRPr="00621BF1" w:rsidRDefault="00BF5273" w:rsidP="00A718E5">
            <w:pPr>
              <w:spacing w:after="0" w:line="240" w:lineRule="auto"/>
              <w:jc w:val="center"/>
              <w:rPr>
                <w:rFonts w:cs="Arial"/>
                <w:bCs/>
              </w:rPr>
            </w:pPr>
            <w:r w:rsidRPr="00621BF1">
              <w:rPr>
                <w:rFonts w:cs="Arial"/>
                <w:bCs/>
              </w:rPr>
              <w:t xml:space="preserve">9 – 13 </w:t>
            </w:r>
            <w:proofErr w:type="spellStart"/>
            <w:r w:rsidRPr="00621BF1">
              <w:rPr>
                <w:rFonts w:cs="Arial"/>
                <w:bCs/>
              </w:rPr>
              <w:t>ans</w:t>
            </w:r>
            <w:proofErr w:type="spellEnd"/>
          </w:p>
        </w:tc>
        <w:tc>
          <w:tcPr>
            <w:tcW w:w="1577" w:type="pct"/>
            <w:shd w:val="clear" w:color="auto" w:fill="auto"/>
          </w:tcPr>
          <w:p w:rsidR="00BF5273" w:rsidRPr="00B902B4" w:rsidRDefault="00BF5273" w:rsidP="00A718E5">
            <w:pPr>
              <w:spacing w:after="0" w:line="240" w:lineRule="auto"/>
              <w:jc w:val="center"/>
              <w:rPr>
                <w:rFonts w:cs="Arial"/>
                <w:bCs/>
                <w:color w:val="00B050"/>
              </w:rPr>
            </w:pPr>
            <w:r w:rsidRPr="00B902B4">
              <w:rPr>
                <w:rFonts w:cs="Arial"/>
                <w:bCs/>
                <w:color w:val="00B050"/>
              </w:rPr>
              <w:t>2020</w:t>
            </w:r>
          </w:p>
        </w:tc>
      </w:tr>
      <w:tr w:rsidR="00BF5273" w:rsidRPr="00B902B4" w:rsidTr="00A718E5">
        <w:tc>
          <w:tcPr>
            <w:tcW w:w="1641" w:type="pct"/>
          </w:tcPr>
          <w:p w:rsidR="00BF5273" w:rsidRPr="00621BF1" w:rsidRDefault="00BF5273" w:rsidP="00A718E5">
            <w:pPr>
              <w:spacing w:after="0" w:line="240" w:lineRule="auto"/>
              <w:jc w:val="both"/>
              <w:rPr>
                <w:rFonts w:cs="Arial"/>
                <w:bCs/>
              </w:rPr>
            </w:pPr>
            <w:r w:rsidRPr="00621BF1">
              <w:rPr>
                <w:rFonts w:cs="Arial"/>
                <w:bCs/>
              </w:rPr>
              <w:t>Ebola</w:t>
            </w:r>
          </w:p>
        </w:tc>
        <w:tc>
          <w:tcPr>
            <w:tcW w:w="1782" w:type="pct"/>
          </w:tcPr>
          <w:p w:rsidR="00BF5273" w:rsidRPr="00621BF1" w:rsidRDefault="00BF5273" w:rsidP="00A718E5">
            <w:pPr>
              <w:spacing w:after="0" w:line="240" w:lineRule="auto"/>
              <w:jc w:val="center"/>
              <w:rPr>
                <w:rFonts w:cs="Arial"/>
                <w:bCs/>
              </w:rPr>
            </w:pPr>
            <w:r>
              <w:rPr>
                <w:rFonts w:cs="Arial"/>
                <w:bCs/>
              </w:rPr>
              <w:t xml:space="preserve">À determiner </w:t>
            </w:r>
          </w:p>
        </w:tc>
        <w:tc>
          <w:tcPr>
            <w:tcW w:w="1577" w:type="pct"/>
            <w:shd w:val="clear" w:color="auto" w:fill="auto"/>
          </w:tcPr>
          <w:p w:rsidR="00BF5273" w:rsidRPr="00B902B4" w:rsidRDefault="00BF5273" w:rsidP="00A718E5">
            <w:pPr>
              <w:spacing w:after="0" w:line="240" w:lineRule="auto"/>
              <w:jc w:val="center"/>
              <w:rPr>
                <w:rFonts w:cs="Arial"/>
                <w:bCs/>
                <w:color w:val="00B050"/>
              </w:rPr>
            </w:pPr>
            <w:r w:rsidRPr="00B902B4">
              <w:rPr>
                <w:rFonts w:cs="Arial"/>
                <w:bCs/>
                <w:color w:val="00B050"/>
              </w:rPr>
              <w:t>2019</w:t>
            </w:r>
          </w:p>
        </w:tc>
      </w:tr>
    </w:tbl>
    <w:p w:rsidR="00997493" w:rsidRPr="00621BF1" w:rsidRDefault="0026272D" w:rsidP="00C415C4">
      <w:pPr>
        <w:shd w:val="clear" w:color="auto" w:fill="FFFFFF"/>
        <w:spacing w:before="240" w:after="120"/>
        <w:jc w:val="both"/>
        <w:rPr>
          <w:rFonts w:cs="Arial"/>
          <w:b/>
          <w:bCs/>
          <w:lang w:val="fr-BE"/>
        </w:rPr>
      </w:pPr>
      <w:r w:rsidRPr="00621BF1">
        <w:rPr>
          <w:rFonts w:cs="Arial"/>
          <w:bCs/>
        </w:rPr>
        <w:t xml:space="preserve"> </w:t>
      </w:r>
    </w:p>
    <w:p w:rsidR="00BF5273" w:rsidRPr="00621BF1" w:rsidRDefault="00BF5273" w:rsidP="00BF5273">
      <w:pPr>
        <w:pStyle w:val="Titre3"/>
      </w:pPr>
      <w:bookmarkStart w:id="28" w:name="_Toc451525502"/>
      <w:bookmarkStart w:id="29" w:name="_Toc452745770"/>
      <w:bookmarkStart w:id="30" w:name="_Toc452746502"/>
      <w:bookmarkStart w:id="31" w:name="_Toc452747521"/>
      <w:bookmarkStart w:id="32" w:name="_Toc458593635"/>
      <w:r w:rsidRPr="00621BF1">
        <w:t>Activités de vaccination supplémentaires</w:t>
      </w:r>
    </w:p>
    <w:p w:rsidR="00BF5273" w:rsidRPr="00621BF1" w:rsidRDefault="00BF5273" w:rsidP="00BF5273">
      <w:pPr>
        <w:spacing w:after="120"/>
        <w:jc w:val="both"/>
        <w:rPr>
          <w:rFonts w:cs="Arial"/>
          <w:bCs/>
        </w:rPr>
      </w:pPr>
      <w:r w:rsidRPr="00621BF1">
        <w:rPr>
          <w:rFonts w:cs="Arial"/>
          <w:bCs/>
        </w:rPr>
        <w:t>Les AVS constituent également une opportunité pour renforcer la vaccination systématique en augmentant le spectre de distribution des intrants dans les structures difficilement accessibles, en réalisant la supervision des prestataires sur les aspects de la vaccination systématique</w:t>
      </w:r>
      <w:r>
        <w:rPr>
          <w:rFonts w:cs="Arial"/>
          <w:bCs/>
        </w:rPr>
        <w:t xml:space="preserve">. Elle permet aussi </w:t>
      </w:r>
      <w:r w:rsidRPr="00621BF1">
        <w:rPr>
          <w:rFonts w:cs="Arial"/>
          <w:bCs/>
        </w:rPr>
        <w:t xml:space="preserve">l’organisation des séances de vaccination pour la récupération des enfants non ou insuffisamment vaccinés en routine. </w:t>
      </w:r>
      <w:r w:rsidRPr="00592E8D">
        <w:rPr>
          <w:rFonts w:cs="Arial"/>
          <w:bCs/>
          <w:highlight w:val="yellow"/>
        </w:rPr>
        <w:t>La qualité des AVS est influencée par les éléments suivants :</w:t>
      </w:r>
      <w:r w:rsidRPr="00621BF1">
        <w:rPr>
          <w:rFonts w:cs="Arial"/>
          <w:bCs/>
        </w:rPr>
        <w:t xml:space="preserve"> </w:t>
      </w:r>
    </w:p>
    <w:p w:rsidR="00BF5273" w:rsidRPr="00536D43" w:rsidRDefault="00BF5273" w:rsidP="00BF5273">
      <w:pPr>
        <w:pStyle w:val="Paragraphedeliste"/>
        <w:numPr>
          <w:ilvl w:val="0"/>
          <w:numId w:val="7"/>
        </w:numPr>
        <w:spacing w:before="0"/>
        <w:jc w:val="both"/>
        <w:rPr>
          <w:rFonts w:cs="Arial"/>
          <w:bCs/>
          <w:color w:val="00B050"/>
        </w:rPr>
      </w:pPr>
      <w:r w:rsidRPr="00536D43">
        <w:rPr>
          <w:rFonts w:cs="Arial"/>
          <w:bCs/>
          <w:color w:val="00B050"/>
        </w:rPr>
        <w:t>Insuffisance de financement de l’état dans la mise en œuvre des AVS</w:t>
      </w:r>
    </w:p>
    <w:p w:rsidR="00BF5273" w:rsidRPr="00536D43" w:rsidRDefault="00BF5273" w:rsidP="00BF5273">
      <w:pPr>
        <w:pStyle w:val="Paragraphedeliste"/>
        <w:numPr>
          <w:ilvl w:val="0"/>
          <w:numId w:val="7"/>
        </w:numPr>
        <w:spacing w:before="0"/>
        <w:jc w:val="both"/>
        <w:rPr>
          <w:rFonts w:cs="Arial"/>
          <w:bCs/>
          <w:color w:val="00B050"/>
        </w:rPr>
      </w:pPr>
      <w:r w:rsidRPr="00536D43">
        <w:rPr>
          <w:rFonts w:cs="Arial"/>
          <w:bCs/>
          <w:color w:val="00B050"/>
        </w:rPr>
        <w:t xml:space="preserve">Insuffisance  de cartographie des zones a accès  difficile par   CS </w:t>
      </w:r>
    </w:p>
    <w:p w:rsidR="00BF5273" w:rsidRPr="00536D43" w:rsidRDefault="00BF5273" w:rsidP="00BF5273">
      <w:pPr>
        <w:pStyle w:val="Paragraphedeliste"/>
        <w:numPr>
          <w:ilvl w:val="0"/>
          <w:numId w:val="7"/>
        </w:numPr>
        <w:spacing w:before="0"/>
        <w:jc w:val="both"/>
        <w:rPr>
          <w:rFonts w:cs="Arial"/>
          <w:bCs/>
          <w:color w:val="00B050"/>
        </w:rPr>
      </w:pPr>
      <w:r w:rsidRPr="00536D43">
        <w:rPr>
          <w:rFonts w:cs="Arial"/>
          <w:bCs/>
          <w:color w:val="00B050"/>
        </w:rPr>
        <w:t>Manque de cartographie des cas de refus /réticence  par CS</w:t>
      </w:r>
    </w:p>
    <w:p w:rsidR="00BF5273" w:rsidRPr="00621BF1" w:rsidRDefault="00BF5273" w:rsidP="00BF5273">
      <w:pPr>
        <w:pStyle w:val="Paragraphedeliste"/>
        <w:numPr>
          <w:ilvl w:val="0"/>
          <w:numId w:val="7"/>
        </w:numPr>
        <w:spacing w:before="0"/>
        <w:jc w:val="both"/>
        <w:rPr>
          <w:rFonts w:cs="Arial"/>
          <w:bCs/>
        </w:rPr>
      </w:pPr>
      <w:r w:rsidRPr="00621BF1">
        <w:rPr>
          <w:rFonts w:cs="Arial"/>
          <w:bCs/>
        </w:rPr>
        <w:t>Le recrutement non local des vaccinateurs</w:t>
      </w:r>
    </w:p>
    <w:p w:rsidR="00BF5273" w:rsidRPr="00621BF1" w:rsidRDefault="00BF5273" w:rsidP="00BF5273">
      <w:pPr>
        <w:pStyle w:val="Paragraphedeliste"/>
        <w:numPr>
          <w:ilvl w:val="0"/>
          <w:numId w:val="7"/>
        </w:numPr>
        <w:spacing w:before="0"/>
        <w:jc w:val="both"/>
        <w:rPr>
          <w:rFonts w:cs="Arial"/>
          <w:bCs/>
        </w:rPr>
      </w:pPr>
      <w:r w:rsidRPr="00621BF1">
        <w:rPr>
          <w:rFonts w:cs="Arial"/>
          <w:bCs/>
        </w:rPr>
        <w:t xml:space="preserve">La qualité insuffisante de la formation </w:t>
      </w:r>
      <w:r>
        <w:rPr>
          <w:rFonts w:cs="Arial"/>
          <w:bCs/>
        </w:rPr>
        <w:t xml:space="preserve">des acteurs </w:t>
      </w:r>
    </w:p>
    <w:p w:rsidR="00BF5273" w:rsidRPr="00ED30CC" w:rsidRDefault="00BF5273" w:rsidP="00BF5273">
      <w:pPr>
        <w:pStyle w:val="Paragraphedeliste"/>
        <w:numPr>
          <w:ilvl w:val="0"/>
          <w:numId w:val="7"/>
        </w:numPr>
        <w:spacing w:before="0"/>
        <w:jc w:val="both"/>
        <w:rPr>
          <w:rFonts w:cs="Arial"/>
          <w:bCs/>
        </w:rPr>
      </w:pPr>
      <w:r w:rsidRPr="00621BF1">
        <w:rPr>
          <w:rFonts w:cs="Arial"/>
          <w:bCs/>
        </w:rPr>
        <w:t>le déploiement incomplet des équipes sur le terrain</w:t>
      </w:r>
    </w:p>
    <w:p w:rsidR="00BF5273" w:rsidRPr="00621BF1" w:rsidRDefault="00BF5273" w:rsidP="00BF5273">
      <w:pPr>
        <w:pStyle w:val="Titre4"/>
      </w:pPr>
      <w:r w:rsidRPr="00621BF1">
        <w:t>Journées Nationales de Vaccination contre la Poliomyélite (JNV Polio)</w:t>
      </w:r>
    </w:p>
    <w:p w:rsidR="00BF5273" w:rsidRPr="000D444B" w:rsidRDefault="00BF5273" w:rsidP="00BF5273">
      <w:pPr>
        <w:spacing w:after="120"/>
        <w:jc w:val="both"/>
        <w:rPr>
          <w:rFonts w:cs="Arial"/>
          <w:bCs/>
          <w:color w:val="00B050"/>
        </w:rPr>
      </w:pPr>
      <w:r w:rsidRPr="000D444B">
        <w:rPr>
          <w:rFonts w:cs="Arial"/>
          <w:bCs/>
          <w:color w:val="00B050"/>
        </w:rPr>
        <w:t>Dans le cadre de l’initiative d’éradication de la poliomyélite, la Guinée a organisé  des campagnes de vaccination de masse entre 2011 et 2017.</w:t>
      </w:r>
    </w:p>
    <w:p w:rsidR="00BF5273" w:rsidRPr="002040D7" w:rsidRDefault="00BF5273" w:rsidP="00BF5273">
      <w:pPr>
        <w:spacing w:after="120"/>
        <w:jc w:val="both"/>
        <w:rPr>
          <w:rFonts w:cs="Arial"/>
          <w:bCs/>
          <w:color w:val="00B050"/>
        </w:rPr>
      </w:pPr>
      <w:r w:rsidRPr="002040D7">
        <w:rPr>
          <w:rFonts w:cs="Arial"/>
          <w:bCs/>
          <w:color w:val="00B050"/>
        </w:rPr>
        <w:t xml:space="preserve">Le monitorage indépendant a montré une amélioration des indicateurs de qualité au fil des passages. Cependant,  les mêmes enquêtes révèlent  la persistance d’enfants non vaccinés dont les pourcentages sont respectivement de 6% en 2016 et 4% en </w:t>
      </w:r>
      <w:proofErr w:type="gramStart"/>
      <w:r w:rsidRPr="002040D7">
        <w:rPr>
          <w:rFonts w:cs="Arial"/>
          <w:bCs/>
          <w:color w:val="00B050"/>
        </w:rPr>
        <w:t>2017 .</w:t>
      </w:r>
      <w:proofErr w:type="gramEnd"/>
    </w:p>
    <w:p w:rsidR="00BF5273" w:rsidRPr="00621BF1" w:rsidRDefault="00BF5273" w:rsidP="00BF5273">
      <w:pPr>
        <w:pStyle w:val="Default"/>
        <w:spacing w:after="120"/>
        <w:jc w:val="both"/>
        <w:rPr>
          <w:rFonts w:ascii="Gill Sans MT" w:eastAsia="Times New Roman" w:hAnsi="Gill Sans MT"/>
          <w:bCs/>
          <w:color w:val="auto"/>
          <w:sz w:val="22"/>
          <w:szCs w:val="22"/>
        </w:rPr>
      </w:pPr>
      <w:r w:rsidRPr="00621BF1">
        <w:rPr>
          <w:rFonts w:ascii="Gill Sans MT" w:eastAsia="Times New Roman" w:hAnsi="Gill Sans MT"/>
          <w:bCs/>
          <w:color w:val="auto"/>
          <w:sz w:val="22"/>
          <w:szCs w:val="22"/>
        </w:rPr>
        <w:t xml:space="preserve">La première évaluation externe de la mise en œuvre du Plan de riposte  a été  conduite courant mars 2016  dont la restitution a été faite à une réunion du CCIA. Cette évaluation a fait ressortir entre autres défis :  </w:t>
      </w:r>
    </w:p>
    <w:p w:rsidR="00BF5273" w:rsidRPr="002040D7" w:rsidRDefault="00BF5273" w:rsidP="00BF5273">
      <w:pPr>
        <w:pStyle w:val="Default"/>
        <w:numPr>
          <w:ilvl w:val="0"/>
          <w:numId w:val="12"/>
        </w:numPr>
        <w:spacing w:before="0" w:after="120"/>
        <w:ind w:left="502"/>
        <w:jc w:val="both"/>
        <w:rPr>
          <w:rFonts w:ascii="Gill Sans MT" w:eastAsia="Times New Roman" w:hAnsi="Gill Sans MT"/>
          <w:bCs/>
          <w:color w:val="0070C0"/>
          <w:sz w:val="22"/>
          <w:szCs w:val="22"/>
        </w:rPr>
      </w:pPr>
      <w:r w:rsidRPr="002040D7">
        <w:rPr>
          <w:rFonts w:ascii="Gill Sans MT" w:eastAsia="Times New Roman" w:hAnsi="Gill Sans MT"/>
          <w:bCs/>
          <w:color w:val="0070C0"/>
          <w:sz w:val="22"/>
          <w:szCs w:val="22"/>
        </w:rPr>
        <w:t xml:space="preserve">insuffisance  d’engagement de l’état guinéen, </w:t>
      </w:r>
    </w:p>
    <w:p w:rsidR="00BF5273" w:rsidRPr="002040D7" w:rsidRDefault="00BF5273" w:rsidP="00BF5273">
      <w:pPr>
        <w:pStyle w:val="Default"/>
        <w:numPr>
          <w:ilvl w:val="0"/>
          <w:numId w:val="12"/>
        </w:numPr>
        <w:spacing w:before="0" w:after="120"/>
        <w:ind w:left="502"/>
        <w:jc w:val="both"/>
        <w:rPr>
          <w:rFonts w:ascii="Gill Sans MT" w:eastAsia="Times New Roman" w:hAnsi="Gill Sans MT"/>
          <w:bCs/>
          <w:color w:val="0070C0"/>
          <w:sz w:val="22"/>
          <w:szCs w:val="22"/>
        </w:rPr>
      </w:pPr>
      <w:r w:rsidRPr="002040D7">
        <w:rPr>
          <w:rFonts w:ascii="Gill Sans MT" w:eastAsia="Times New Roman" w:hAnsi="Gill Sans MT"/>
          <w:bCs/>
          <w:color w:val="0070C0"/>
          <w:sz w:val="22"/>
          <w:szCs w:val="22"/>
        </w:rPr>
        <w:lastRenderedPageBreak/>
        <w:t xml:space="preserve">insuffisances en matière de gouvernance avec entre autre l’inexistence d’un cadre de </w:t>
      </w:r>
      <w:proofErr w:type="spellStart"/>
      <w:r w:rsidRPr="002040D7">
        <w:rPr>
          <w:rFonts w:ascii="Gill Sans MT" w:eastAsia="Times New Roman" w:hAnsi="Gill Sans MT"/>
          <w:bCs/>
          <w:color w:val="0070C0"/>
          <w:sz w:val="22"/>
          <w:szCs w:val="22"/>
        </w:rPr>
        <w:t>redevabilité</w:t>
      </w:r>
      <w:proofErr w:type="spellEnd"/>
      <w:r w:rsidRPr="002040D7">
        <w:rPr>
          <w:rFonts w:ascii="Gill Sans MT" w:eastAsia="Times New Roman" w:hAnsi="Gill Sans MT"/>
          <w:bCs/>
          <w:color w:val="0070C0"/>
          <w:sz w:val="22"/>
          <w:szCs w:val="22"/>
        </w:rPr>
        <w:t xml:space="preserve">  </w:t>
      </w:r>
    </w:p>
    <w:p w:rsidR="00BF5273" w:rsidRPr="002040D7" w:rsidRDefault="00BF5273" w:rsidP="00BF5273">
      <w:pPr>
        <w:pStyle w:val="Default"/>
        <w:numPr>
          <w:ilvl w:val="0"/>
          <w:numId w:val="12"/>
        </w:numPr>
        <w:spacing w:before="0" w:after="120"/>
        <w:ind w:left="502"/>
        <w:jc w:val="both"/>
        <w:rPr>
          <w:rFonts w:ascii="Gill Sans MT" w:eastAsia="Times New Roman" w:hAnsi="Gill Sans MT"/>
          <w:bCs/>
          <w:color w:val="0070C0"/>
          <w:sz w:val="22"/>
          <w:szCs w:val="22"/>
        </w:rPr>
      </w:pPr>
      <w:r w:rsidRPr="002040D7">
        <w:rPr>
          <w:rFonts w:ascii="Gill Sans MT" w:eastAsia="Times New Roman" w:hAnsi="Gill Sans MT"/>
          <w:bCs/>
          <w:color w:val="0070C0"/>
          <w:sz w:val="22"/>
          <w:szCs w:val="22"/>
        </w:rPr>
        <w:t xml:space="preserve">les difficultés à sécuriser les ressources financières nécessaires. </w:t>
      </w:r>
    </w:p>
    <w:p w:rsidR="00BF5273" w:rsidRPr="00621BF1" w:rsidRDefault="00BF5273" w:rsidP="00BF5273">
      <w:pPr>
        <w:pStyle w:val="Default"/>
        <w:spacing w:after="120"/>
        <w:jc w:val="both"/>
        <w:rPr>
          <w:rFonts w:ascii="Gill Sans MT" w:eastAsia="Times New Roman" w:hAnsi="Gill Sans MT"/>
          <w:bCs/>
          <w:color w:val="auto"/>
          <w:sz w:val="22"/>
          <w:szCs w:val="22"/>
        </w:rPr>
      </w:pPr>
      <w:r w:rsidRPr="00621BF1">
        <w:rPr>
          <w:rFonts w:ascii="Gill Sans MT" w:eastAsia="Times New Roman" w:hAnsi="Gill Sans MT"/>
          <w:bCs/>
          <w:color w:val="auto"/>
          <w:sz w:val="22"/>
          <w:szCs w:val="22"/>
        </w:rPr>
        <w:t>C’est dans ce c</w:t>
      </w:r>
      <w:r>
        <w:rPr>
          <w:rFonts w:ascii="Gill Sans MT" w:eastAsia="Times New Roman" w:hAnsi="Gill Sans MT"/>
          <w:bCs/>
          <w:color w:val="auto"/>
          <w:sz w:val="22"/>
          <w:szCs w:val="22"/>
        </w:rPr>
        <w:t xml:space="preserve">ontexte </w:t>
      </w:r>
      <w:r w:rsidRPr="00621BF1">
        <w:rPr>
          <w:rFonts w:ascii="Gill Sans MT" w:eastAsia="Times New Roman" w:hAnsi="Gill Sans MT"/>
          <w:bCs/>
          <w:color w:val="auto"/>
          <w:sz w:val="22"/>
          <w:szCs w:val="22"/>
        </w:rPr>
        <w:t xml:space="preserve"> qu’un cadre consensuel de </w:t>
      </w:r>
      <w:proofErr w:type="spellStart"/>
      <w:r w:rsidRPr="00621BF1">
        <w:rPr>
          <w:rFonts w:ascii="Gill Sans MT" w:eastAsia="Times New Roman" w:hAnsi="Gill Sans MT"/>
          <w:bCs/>
          <w:color w:val="auto"/>
          <w:sz w:val="22"/>
          <w:szCs w:val="22"/>
        </w:rPr>
        <w:t>redevabilité</w:t>
      </w:r>
      <w:proofErr w:type="spellEnd"/>
      <w:r w:rsidRPr="00621BF1">
        <w:rPr>
          <w:rFonts w:ascii="Gill Sans MT" w:eastAsia="Times New Roman" w:hAnsi="Gill Sans MT"/>
          <w:bCs/>
          <w:color w:val="auto"/>
          <w:sz w:val="22"/>
          <w:szCs w:val="22"/>
        </w:rPr>
        <w:t xml:space="preserve"> a été élaboré et </w:t>
      </w:r>
      <w:r>
        <w:rPr>
          <w:rFonts w:ascii="Gill Sans MT" w:eastAsia="Times New Roman" w:hAnsi="Gill Sans MT"/>
          <w:bCs/>
          <w:color w:val="auto"/>
          <w:sz w:val="22"/>
          <w:szCs w:val="22"/>
        </w:rPr>
        <w:t xml:space="preserve">qui a </w:t>
      </w:r>
      <w:r w:rsidRPr="00621BF1">
        <w:rPr>
          <w:rFonts w:ascii="Gill Sans MT" w:eastAsia="Times New Roman" w:hAnsi="Gill Sans MT"/>
          <w:bCs/>
          <w:color w:val="auto"/>
          <w:sz w:val="22"/>
          <w:szCs w:val="22"/>
        </w:rPr>
        <w:t xml:space="preserve">pour but d’améliorer les performances des activités de vaccination supplémentaires </w:t>
      </w:r>
      <w:r w:rsidRPr="002040D7">
        <w:rPr>
          <w:rFonts w:ascii="Gill Sans MT" w:eastAsia="Times New Roman" w:hAnsi="Gill Sans MT"/>
          <w:bCs/>
          <w:color w:val="auto"/>
          <w:sz w:val="22"/>
          <w:szCs w:val="22"/>
        </w:rPr>
        <w:t>(AVS)</w:t>
      </w:r>
      <w:r w:rsidRPr="00621BF1">
        <w:rPr>
          <w:rFonts w:ascii="Gill Sans MT" w:eastAsia="Times New Roman" w:hAnsi="Gill Sans MT"/>
          <w:bCs/>
          <w:color w:val="auto"/>
          <w:sz w:val="22"/>
          <w:szCs w:val="22"/>
        </w:rPr>
        <w:t xml:space="preserve"> à travers une définition claire des rôles et responsabilités et un monitorage  rapproché d’activités menées par les acteurs politiques, administratifs et de mise en œuvre à tous les niveaux. Il s’agit entre autres des Gouverneurs, des Préfets, des Sous-Préfets, des DRS, des DPS, des Chefs de Centres de santé, des Superviseurs, des Vaccinateurs et des Mobilisateurs Sociaux. </w:t>
      </w:r>
    </w:p>
    <w:p w:rsidR="00BF5273" w:rsidRPr="00621BF1" w:rsidRDefault="00BF5273" w:rsidP="00BF5273">
      <w:pPr>
        <w:pStyle w:val="Default"/>
        <w:spacing w:after="120"/>
        <w:jc w:val="both"/>
        <w:rPr>
          <w:rFonts w:ascii="Gill Sans MT" w:eastAsia="Times New Roman" w:hAnsi="Gill Sans MT"/>
          <w:bCs/>
          <w:color w:val="auto"/>
          <w:sz w:val="22"/>
          <w:szCs w:val="22"/>
        </w:rPr>
      </w:pPr>
      <w:r w:rsidRPr="00621BF1">
        <w:rPr>
          <w:rFonts w:ascii="Gill Sans MT" w:eastAsia="Times New Roman" w:hAnsi="Gill Sans MT"/>
          <w:bCs/>
          <w:color w:val="auto"/>
          <w:sz w:val="22"/>
          <w:szCs w:val="22"/>
        </w:rPr>
        <w:t xml:space="preserve">Dans cet ordre d’idée, il a été mis en place une Cellule Régionale d’Urgence Polio à Kankan en date du 22 Avril 2016. Elle sera mise en place progressivement dans les 07 autres régions dans les jours à venir. </w:t>
      </w:r>
    </w:p>
    <w:p w:rsidR="00BF5273" w:rsidRPr="00621BF1" w:rsidRDefault="00BF5273" w:rsidP="00BF5273">
      <w:pPr>
        <w:pStyle w:val="Lgende"/>
      </w:pPr>
    </w:p>
    <w:p w:rsidR="00BF5273" w:rsidRPr="00EA68C3" w:rsidRDefault="00BF5273" w:rsidP="00BF5273">
      <w:pPr>
        <w:pStyle w:val="Lgende"/>
        <w:rPr>
          <w:color w:val="00B050"/>
        </w:rPr>
      </w:pPr>
      <w:r w:rsidRPr="00EA68C3">
        <w:rPr>
          <w:color w:val="00B050"/>
        </w:rPr>
        <w:t xml:space="preserve">Tableau 8:Tableau récapitulatif des résultats </w:t>
      </w:r>
      <w:proofErr w:type="gramStart"/>
      <w:r w:rsidRPr="00EA68C3">
        <w:rPr>
          <w:color w:val="00B050"/>
        </w:rPr>
        <w:t>des JNV/JLV  polio</w:t>
      </w:r>
      <w:proofErr w:type="gramEnd"/>
      <w:r w:rsidRPr="00EA68C3">
        <w:rPr>
          <w:color w:val="00B050"/>
        </w:rPr>
        <w:t xml:space="preserve"> de 2011 à 2017</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1417"/>
        <w:gridCol w:w="3119"/>
        <w:gridCol w:w="2689"/>
      </w:tblGrid>
      <w:tr w:rsidR="00BF5273" w:rsidRPr="00621BF1" w:rsidTr="00A718E5">
        <w:trPr>
          <w:trHeight w:val="390"/>
          <w:tblHeader/>
        </w:trPr>
        <w:tc>
          <w:tcPr>
            <w:tcW w:w="1134" w:type="dxa"/>
            <w:shd w:val="clear" w:color="auto" w:fill="C45911" w:themeFill="accent2" w:themeFillShade="BF"/>
            <w:noWrap/>
            <w:vAlign w:val="center"/>
            <w:hideMark/>
          </w:tcPr>
          <w:p w:rsidR="00BF5273" w:rsidRPr="00621BF1" w:rsidRDefault="00BF5273" w:rsidP="00A718E5">
            <w:pPr>
              <w:spacing w:before="240" w:after="120"/>
              <w:jc w:val="center"/>
              <w:rPr>
                <w:rFonts w:cs="Arial"/>
                <w:bCs/>
                <w:color w:val="FFFFFF" w:themeColor="background1"/>
              </w:rPr>
            </w:pPr>
            <w:r w:rsidRPr="00621BF1">
              <w:rPr>
                <w:rFonts w:cs="Arial"/>
                <w:bCs/>
                <w:color w:val="FFFFFF" w:themeColor="background1"/>
              </w:rPr>
              <w:t>Année</w:t>
            </w:r>
          </w:p>
        </w:tc>
        <w:tc>
          <w:tcPr>
            <w:tcW w:w="1417" w:type="dxa"/>
            <w:shd w:val="clear" w:color="auto" w:fill="C45911" w:themeFill="accent2" w:themeFillShade="BF"/>
            <w:noWrap/>
            <w:vAlign w:val="center"/>
            <w:hideMark/>
          </w:tcPr>
          <w:p w:rsidR="00BF5273" w:rsidRPr="00621BF1" w:rsidRDefault="00BF5273" w:rsidP="00A718E5">
            <w:pPr>
              <w:spacing w:before="240" w:after="120"/>
              <w:jc w:val="center"/>
              <w:rPr>
                <w:rFonts w:cs="Arial"/>
                <w:bCs/>
                <w:color w:val="FFFFFF" w:themeColor="background1"/>
              </w:rPr>
            </w:pPr>
            <w:r w:rsidRPr="00621BF1">
              <w:rPr>
                <w:rFonts w:cs="Arial"/>
                <w:bCs/>
                <w:color w:val="FFFFFF" w:themeColor="background1"/>
              </w:rPr>
              <w:t>Type d’AVS</w:t>
            </w:r>
          </w:p>
        </w:tc>
        <w:tc>
          <w:tcPr>
            <w:tcW w:w="3119" w:type="dxa"/>
            <w:shd w:val="clear" w:color="auto" w:fill="C45911" w:themeFill="accent2" w:themeFillShade="BF"/>
            <w:vAlign w:val="center"/>
            <w:hideMark/>
          </w:tcPr>
          <w:p w:rsidR="00BF5273" w:rsidRPr="00621BF1" w:rsidRDefault="00BF5273" w:rsidP="00A718E5">
            <w:pPr>
              <w:spacing w:before="240" w:after="120"/>
              <w:jc w:val="center"/>
              <w:rPr>
                <w:rFonts w:cs="Arial"/>
                <w:bCs/>
                <w:color w:val="FFFFFF" w:themeColor="background1"/>
              </w:rPr>
            </w:pPr>
            <w:r w:rsidRPr="00621BF1">
              <w:rPr>
                <w:rFonts w:cs="Arial"/>
                <w:bCs/>
                <w:color w:val="FFFFFF" w:themeColor="background1"/>
              </w:rPr>
              <w:t>Couverture administrative (%)</w:t>
            </w:r>
          </w:p>
        </w:tc>
        <w:tc>
          <w:tcPr>
            <w:tcW w:w="2689" w:type="dxa"/>
            <w:shd w:val="clear" w:color="auto" w:fill="C45911" w:themeFill="accent2" w:themeFillShade="BF"/>
          </w:tcPr>
          <w:p w:rsidR="00BF5273" w:rsidRPr="00621BF1" w:rsidRDefault="00BF5273" w:rsidP="00A718E5">
            <w:pPr>
              <w:spacing w:before="240" w:after="120"/>
              <w:jc w:val="center"/>
              <w:rPr>
                <w:rFonts w:cs="Arial"/>
                <w:bCs/>
                <w:color w:val="FFFFFF" w:themeColor="background1"/>
              </w:rPr>
            </w:pPr>
            <w:r w:rsidRPr="00621BF1">
              <w:rPr>
                <w:rFonts w:cs="Arial"/>
                <w:bCs/>
                <w:color w:val="FFFFFF" w:themeColor="background1"/>
              </w:rPr>
              <w:t>Couverture enquête (%)</w:t>
            </w:r>
          </w:p>
        </w:tc>
      </w:tr>
      <w:tr w:rsidR="00BF5273" w:rsidRPr="00621BF1" w:rsidTr="00A718E5">
        <w:trPr>
          <w:trHeight w:val="304"/>
        </w:trPr>
        <w:tc>
          <w:tcPr>
            <w:tcW w:w="1134" w:type="dxa"/>
            <w:noWrap/>
            <w:vAlign w:val="center"/>
          </w:tcPr>
          <w:p w:rsidR="00BF5273" w:rsidRPr="00621BF1" w:rsidRDefault="00BF5273" w:rsidP="00A718E5">
            <w:pPr>
              <w:spacing w:after="120"/>
              <w:jc w:val="both"/>
              <w:rPr>
                <w:rFonts w:cs="Arial"/>
                <w:bCs/>
              </w:rPr>
            </w:pPr>
            <w:r w:rsidRPr="00621BF1">
              <w:rPr>
                <w:rFonts w:cs="Arial"/>
                <w:bCs/>
              </w:rPr>
              <w:t>2011</w:t>
            </w:r>
          </w:p>
        </w:tc>
        <w:tc>
          <w:tcPr>
            <w:tcW w:w="1417" w:type="dxa"/>
            <w:noWrap/>
            <w:vAlign w:val="center"/>
            <w:hideMark/>
          </w:tcPr>
          <w:p w:rsidR="00BF5273" w:rsidRPr="00621BF1" w:rsidRDefault="00BF5273" w:rsidP="00A718E5">
            <w:pPr>
              <w:spacing w:after="120"/>
              <w:jc w:val="center"/>
              <w:rPr>
                <w:rFonts w:cs="Arial"/>
                <w:bCs/>
              </w:rPr>
            </w:pPr>
            <w:r w:rsidRPr="00621BF1">
              <w:rPr>
                <w:rFonts w:cs="Arial"/>
                <w:bCs/>
              </w:rPr>
              <w:t>JNV</w:t>
            </w:r>
          </w:p>
        </w:tc>
        <w:tc>
          <w:tcPr>
            <w:tcW w:w="3119" w:type="dxa"/>
            <w:shd w:val="clear" w:color="auto" w:fill="auto"/>
            <w:vAlign w:val="center"/>
          </w:tcPr>
          <w:p w:rsidR="00BF5273" w:rsidRPr="00621BF1" w:rsidRDefault="00BF5273" w:rsidP="00A718E5">
            <w:pPr>
              <w:spacing w:after="120"/>
              <w:jc w:val="center"/>
              <w:rPr>
                <w:rFonts w:cs="Arial"/>
                <w:bCs/>
              </w:rPr>
            </w:pPr>
            <w:r>
              <w:rPr>
                <w:rFonts w:cs="Arial"/>
                <w:bCs/>
              </w:rPr>
              <w:t xml:space="preserve">Absence de </w:t>
            </w:r>
            <w:r w:rsidRPr="00621BF1">
              <w:rPr>
                <w:rFonts w:cs="Arial"/>
                <w:bCs/>
              </w:rPr>
              <w:t>JNV (</w:t>
            </w:r>
            <w:r>
              <w:rPr>
                <w:rFonts w:cs="Arial"/>
                <w:bCs/>
              </w:rPr>
              <w:t>à cause d’</w:t>
            </w:r>
            <w:r w:rsidRPr="00621BF1">
              <w:rPr>
                <w:rFonts w:cs="Arial"/>
                <w:bCs/>
              </w:rPr>
              <w:t>Ebola)</w:t>
            </w:r>
          </w:p>
        </w:tc>
        <w:tc>
          <w:tcPr>
            <w:tcW w:w="2689" w:type="dxa"/>
            <w:shd w:val="clear" w:color="auto" w:fill="auto"/>
          </w:tcPr>
          <w:p w:rsidR="00BF5273" w:rsidRPr="00621BF1" w:rsidRDefault="00BF5273" w:rsidP="00A718E5">
            <w:pPr>
              <w:spacing w:after="120"/>
              <w:jc w:val="center"/>
              <w:rPr>
                <w:rFonts w:cs="Arial"/>
                <w:bCs/>
              </w:rPr>
            </w:pPr>
            <w:r>
              <w:rPr>
                <w:rFonts w:cs="Arial"/>
                <w:bCs/>
              </w:rPr>
              <w:t>SO</w:t>
            </w:r>
          </w:p>
        </w:tc>
      </w:tr>
      <w:tr w:rsidR="00BF5273" w:rsidRPr="00621BF1" w:rsidTr="00A718E5">
        <w:trPr>
          <w:trHeight w:val="304"/>
        </w:trPr>
        <w:tc>
          <w:tcPr>
            <w:tcW w:w="1134" w:type="dxa"/>
            <w:noWrap/>
            <w:vAlign w:val="center"/>
            <w:hideMark/>
          </w:tcPr>
          <w:p w:rsidR="00BF5273" w:rsidRPr="00621BF1" w:rsidRDefault="00BF5273" w:rsidP="00A718E5">
            <w:pPr>
              <w:spacing w:after="120"/>
              <w:jc w:val="both"/>
              <w:rPr>
                <w:rFonts w:cs="Arial"/>
                <w:bCs/>
              </w:rPr>
            </w:pPr>
            <w:r w:rsidRPr="00621BF1">
              <w:rPr>
                <w:rFonts w:cs="Arial"/>
                <w:bCs/>
              </w:rPr>
              <w:t>2012</w:t>
            </w:r>
          </w:p>
        </w:tc>
        <w:tc>
          <w:tcPr>
            <w:tcW w:w="1417" w:type="dxa"/>
            <w:noWrap/>
            <w:vAlign w:val="center"/>
            <w:hideMark/>
          </w:tcPr>
          <w:p w:rsidR="00BF5273" w:rsidRPr="00621BF1" w:rsidRDefault="00BF5273" w:rsidP="00A718E5">
            <w:pPr>
              <w:spacing w:after="120"/>
              <w:jc w:val="center"/>
              <w:rPr>
                <w:rFonts w:cs="Arial"/>
                <w:bCs/>
              </w:rPr>
            </w:pPr>
            <w:r w:rsidRPr="00621BF1">
              <w:rPr>
                <w:rFonts w:cs="Arial"/>
                <w:bCs/>
              </w:rPr>
              <w:t>JNV</w:t>
            </w:r>
          </w:p>
        </w:tc>
        <w:tc>
          <w:tcPr>
            <w:tcW w:w="3119" w:type="dxa"/>
            <w:shd w:val="clear" w:color="auto" w:fill="auto"/>
            <w:vAlign w:val="center"/>
          </w:tcPr>
          <w:p w:rsidR="00BF5273" w:rsidRPr="00621BF1" w:rsidRDefault="00BF5273" w:rsidP="00A718E5">
            <w:pPr>
              <w:spacing w:after="120"/>
              <w:jc w:val="center"/>
              <w:rPr>
                <w:rFonts w:cs="Arial"/>
                <w:bCs/>
              </w:rPr>
            </w:pPr>
            <w:r w:rsidRPr="00621BF1">
              <w:rPr>
                <w:rFonts w:cs="Arial"/>
                <w:bCs/>
              </w:rPr>
              <w:t>102%</w:t>
            </w:r>
          </w:p>
        </w:tc>
        <w:tc>
          <w:tcPr>
            <w:tcW w:w="2689" w:type="dxa"/>
            <w:shd w:val="clear" w:color="auto" w:fill="auto"/>
          </w:tcPr>
          <w:p w:rsidR="00BF5273" w:rsidRPr="00621BF1" w:rsidRDefault="00BF5273" w:rsidP="00A718E5">
            <w:pPr>
              <w:spacing w:after="120"/>
              <w:jc w:val="center"/>
              <w:rPr>
                <w:rFonts w:cs="Arial"/>
                <w:bCs/>
              </w:rPr>
            </w:pPr>
            <w:r w:rsidRPr="00621BF1">
              <w:rPr>
                <w:rFonts w:cs="Arial"/>
                <w:bCs/>
              </w:rPr>
              <w:t>ND</w:t>
            </w:r>
          </w:p>
        </w:tc>
      </w:tr>
      <w:tr w:rsidR="00BF5273" w:rsidRPr="00621BF1" w:rsidTr="00A718E5">
        <w:trPr>
          <w:trHeight w:val="304"/>
        </w:trPr>
        <w:tc>
          <w:tcPr>
            <w:tcW w:w="1134" w:type="dxa"/>
            <w:noWrap/>
            <w:vAlign w:val="center"/>
            <w:hideMark/>
          </w:tcPr>
          <w:p w:rsidR="00BF5273" w:rsidRPr="00621BF1" w:rsidRDefault="00BF5273" w:rsidP="00A718E5">
            <w:pPr>
              <w:spacing w:after="120"/>
              <w:jc w:val="both"/>
              <w:rPr>
                <w:rFonts w:cs="Arial"/>
                <w:bCs/>
              </w:rPr>
            </w:pPr>
            <w:r w:rsidRPr="00621BF1">
              <w:rPr>
                <w:rFonts w:cs="Arial"/>
                <w:bCs/>
              </w:rPr>
              <w:t>2013</w:t>
            </w:r>
          </w:p>
        </w:tc>
        <w:tc>
          <w:tcPr>
            <w:tcW w:w="1417" w:type="dxa"/>
            <w:noWrap/>
            <w:vAlign w:val="center"/>
            <w:hideMark/>
          </w:tcPr>
          <w:p w:rsidR="00BF5273" w:rsidRPr="00621BF1" w:rsidRDefault="00BF5273" w:rsidP="00A718E5">
            <w:pPr>
              <w:spacing w:after="120"/>
              <w:jc w:val="center"/>
              <w:rPr>
                <w:rFonts w:cs="Arial"/>
                <w:bCs/>
              </w:rPr>
            </w:pPr>
            <w:r w:rsidRPr="00621BF1">
              <w:rPr>
                <w:rFonts w:cs="Arial"/>
                <w:bCs/>
              </w:rPr>
              <w:t>JNV</w:t>
            </w:r>
          </w:p>
        </w:tc>
        <w:tc>
          <w:tcPr>
            <w:tcW w:w="3119" w:type="dxa"/>
            <w:shd w:val="clear" w:color="auto" w:fill="auto"/>
            <w:vAlign w:val="center"/>
          </w:tcPr>
          <w:p w:rsidR="00BF5273" w:rsidRPr="00621BF1" w:rsidRDefault="00BF5273" w:rsidP="00A718E5">
            <w:pPr>
              <w:spacing w:after="120"/>
              <w:jc w:val="center"/>
              <w:rPr>
                <w:rFonts w:cs="Arial"/>
                <w:bCs/>
              </w:rPr>
            </w:pPr>
            <w:r w:rsidRPr="00621BF1">
              <w:rPr>
                <w:rFonts w:cs="Arial"/>
                <w:bCs/>
              </w:rPr>
              <w:t>105%</w:t>
            </w:r>
          </w:p>
        </w:tc>
        <w:tc>
          <w:tcPr>
            <w:tcW w:w="2689" w:type="dxa"/>
            <w:shd w:val="clear" w:color="auto" w:fill="auto"/>
          </w:tcPr>
          <w:p w:rsidR="00BF5273" w:rsidRPr="00621BF1" w:rsidRDefault="00BF5273" w:rsidP="00A718E5">
            <w:pPr>
              <w:spacing w:after="120"/>
              <w:jc w:val="center"/>
              <w:rPr>
                <w:rFonts w:cs="Arial"/>
                <w:bCs/>
              </w:rPr>
            </w:pPr>
            <w:r w:rsidRPr="00621BF1">
              <w:rPr>
                <w:rFonts w:cs="Arial"/>
                <w:bCs/>
              </w:rPr>
              <w:t>ND</w:t>
            </w:r>
          </w:p>
        </w:tc>
      </w:tr>
      <w:tr w:rsidR="00BF5273" w:rsidRPr="00621BF1" w:rsidTr="00A718E5">
        <w:trPr>
          <w:trHeight w:val="304"/>
        </w:trPr>
        <w:tc>
          <w:tcPr>
            <w:tcW w:w="1134" w:type="dxa"/>
            <w:noWrap/>
            <w:vAlign w:val="center"/>
            <w:hideMark/>
          </w:tcPr>
          <w:p w:rsidR="00BF5273" w:rsidRPr="00621BF1" w:rsidRDefault="00BF5273" w:rsidP="00A718E5">
            <w:pPr>
              <w:spacing w:after="120"/>
              <w:jc w:val="both"/>
              <w:rPr>
                <w:rFonts w:cs="Arial"/>
                <w:bCs/>
              </w:rPr>
            </w:pPr>
            <w:r w:rsidRPr="00621BF1">
              <w:rPr>
                <w:rFonts w:cs="Arial"/>
                <w:bCs/>
              </w:rPr>
              <w:t>2014</w:t>
            </w:r>
          </w:p>
        </w:tc>
        <w:tc>
          <w:tcPr>
            <w:tcW w:w="1417" w:type="dxa"/>
            <w:noWrap/>
            <w:vAlign w:val="center"/>
            <w:hideMark/>
          </w:tcPr>
          <w:p w:rsidR="00BF5273" w:rsidRPr="00621BF1" w:rsidRDefault="00BF5273" w:rsidP="00A718E5">
            <w:pPr>
              <w:spacing w:after="120"/>
              <w:jc w:val="center"/>
              <w:rPr>
                <w:rFonts w:cs="Arial"/>
                <w:bCs/>
              </w:rPr>
            </w:pPr>
            <w:r w:rsidRPr="00621BF1">
              <w:rPr>
                <w:rFonts w:cs="Arial"/>
                <w:bCs/>
              </w:rPr>
              <w:t>JNV</w:t>
            </w:r>
          </w:p>
        </w:tc>
        <w:tc>
          <w:tcPr>
            <w:tcW w:w="3119" w:type="dxa"/>
            <w:shd w:val="clear" w:color="auto" w:fill="auto"/>
            <w:vAlign w:val="center"/>
          </w:tcPr>
          <w:p w:rsidR="00BF5273" w:rsidRPr="00621BF1" w:rsidRDefault="00BF5273" w:rsidP="00A718E5">
            <w:pPr>
              <w:spacing w:after="120"/>
              <w:jc w:val="center"/>
              <w:rPr>
                <w:rFonts w:cs="Arial"/>
                <w:bCs/>
              </w:rPr>
            </w:pPr>
            <w:r w:rsidRPr="00621BF1">
              <w:rPr>
                <w:rFonts w:cs="Arial"/>
                <w:bCs/>
              </w:rPr>
              <w:t>103%</w:t>
            </w:r>
          </w:p>
        </w:tc>
        <w:tc>
          <w:tcPr>
            <w:tcW w:w="2689" w:type="dxa"/>
            <w:shd w:val="clear" w:color="auto" w:fill="auto"/>
          </w:tcPr>
          <w:p w:rsidR="00BF5273" w:rsidRPr="00621BF1" w:rsidRDefault="00BF5273" w:rsidP="00A718E5">
            <w:pPr>
              <w:spacing w:after="120"/>
              <w:jc w:val="center"/>
              <w:rPr>
                <w:rFonts w:cs="Arial"/>
                <w:bCs/>
              </w:rPr>
            </w:pPr>
            <w:r w:rsidRPr="00621BF1">
              <w:rPr>
                <w:rFonts w:cs="Arial"/>
                <w:bCs/>
              </w:rPr>
              <w:t>ND</w:t>
            </w:r>
          </w:p>
        </w:tc>
      </w:tr>
      <w:tr w:rsidR="00BF5273" w:rsidRPr="00621BF1" w:rsidTr="00A718E5">
        <w:trPr>
          <w:trHeight w:val="304"/>
        </w:trPr>
        <w:tc>
          <w:tcPr>
            <w:tcW w:w="1134" w:type="dxa"/>
            <w:noWrap/>
            <w:vAlign w:val="center"/>
          </w:tcPr>
          <w:p w:rsidR="00BF5273" w:rsidRPr="00621BF1" w:rsidRDefault="00BF5273" w:rsidP="00A718E5">
            <w:pPr>
              <w:spacing w:after="120" w:line="240" w:lineRule="auto"/>
              <w:jc w:val="both"/>
              <w:rPr>
                <w:rFonts w:cs="Arial"/>
                <w:bCs/>
              </w:rPr>
            </w:pPr>
            <w:r>
              <w:rPr>
                <w:rFonts w:cs="Arial"/>
                <w:bCs/>
              </w:rPr>
              <w:t>2015</w:t>
            </w:r>
          </w:p>
        </w:tc>
        <w:tc>
          <w:tcPr>
            <w:tcW w:w="1417" w:type="dxa"/>
            <w:noWrap/>
            <w:vAlign w:val="center"/>
          </w:tcPr>
          <w:p w:rsidR="00BF5273" w:rsidRPr="00621BF1" w:rsidRDefault="00BF5273" w:rsidP="00A718E5">
            <w:pPr>
              <w:spacing w:after="120" w:line="240" w:lineRule="auto"/>
              <w:jc w:val="center"/>
              <w:rPr>
                <w:rFonts w:cs="Arial"/>
                <w:bCs/>
              </w:rPr>
            </w:pPr>
            <w:r>
              <w:rPr>
                <w:rFonts w:cs="Arial"/>
                <w:bCs/>
              </w:rPr>
              <w:t>JLV 2015</w:t>
            </w:r>
          </w:p>
        </w:tc>
        <w:tc>
          <w:tcPr>
            <w:tcW w:w="3119" w:type="dxa"/>
            <w:shd w:val="clear" w:color="auto" w:fill="auto"/>
            <w:vAlign w:val="center"/>
          </w:tcPr>
          <w:p w:rsidR="00BF5273" w:rsidRPr="00050055" w:rsidRDefault="00BF5273" w:rsidP="00A718E5">
            <w:pPr>
              <w:spacing w:after="120" w:line="240" w:lineRule="auto"/>
              <w:jc w:val="center"/>
              <w:rPr>
                <w:rFonts w:cs="Arial"/>
                <w:bCs/>
                <w:color w:val="00B050"/>
              </w:rPr>
            </w:pPr>
            <w:r w:rsidRPr="00050055">
              <w:rPr>
                <w:rFonts w:cs="Arial"/>
                <w:bCs/>
                <w:color w:val="00B050"/>
              </w:rPr>
              <w:t>T1=</w:t>
            </w:r>
            <w:r w:rsidRPr="00050055">
              <w:rPr>
                <w:color w:val="00B050"/>
                <w:sz w:val="24"/>
                <w:szCs w:val="24"/>
              </w:rPr>
              <w:t>103%</w:t>
            </w:r>
          </w:p>
          <w:p w:rsidR="00BF5273" w:rsidRPr="00050055" w:rsidRDefault="00BF5273" w:rsidP="00A718E5">
            <w:pPr>
              <w:spacing w:after="120" w:line="240" w:lineRule="auto"/>
              <w:jc w:val="center"/>
              <w:rPr>
                <w:rFonts w:cs="Arial"/>
                <w:bCs/>
                <w:color w:val="00B050"/>
              </w:rPr>
            </w:pPr>
            <w:r w:rsidRPr="00050055">
              <w:rPr>
                <w:rFonts w:cs="Arial"/>
                <w:bCs/>
                <w:color w:val="00B050"/>
              </w:rPr>
              <w:t>T2=</w:t>
            </w:r>
            <w:r w:rsidRPr="00050055">
              <w:rPr>
                <w:color w:val="00B050"/>
                <w:sz w:val="24"/>
                <w:szCs w:val="24"/>
              </w:rPr>
              <w:t>104%</w:t>
            </w:r>
          </w:p>
          <w:p w:rsidR="00BF5273" w:rsidRPr="00050055" w:rsidRDefault="00BF5273" w:rsidP="00A718E5">
            <w:pPr>
              <w:spacing w:after="120" w:line="240" w:lineRule="auto"/>
              <w:jc w:val="center"/>
              <w:rPr>
                <w:rFonts w:cs="Arial"/>
                <w:bCs/>
                <w:color w:val="00B050"/>
              </w:rPr>
            </w:pPr>
            <w:r w:rsidRPr="00050055">
              <w:rPr>
                <w:rFonts w:cs="Arial"/>
                <w:bCs/>
                <w:color w:val="00B050"/>
              </w:rPr>
              <w:t>T3=</w:t>
            </w:r>
            <w:r w:rsidRPr="00050055">
              <w:rPr>
                <w:color w:val="00B050"/>
                <w:sz w:val="24"/>
                <w:szCs w:val="24"/>
              </w:rPr>
              <w:t>104%</w:t>
            </w:r>
          </w:p>
        </w:tc>
        <w:tc>
          <w:tcPr>
            <w:tcW w:w="2689" w:type="dxa"/>
            <w:shd w:val="clear" w:color="auto" w:fill="auto"/>
          </w:tcPr>
          <w:p w:rsidR="00BF5273" w:rsidRPr="00621BF1" w:rsidRDefault="00BF5273" w:rsidP="00A718E5">
            <w:pPr>
              <w:spacing w:after="120" w:line="240" w:lineRule="auto"/>
              <w:jc w:val="center"/>
              <w:rPr>
                <w:rFonts w:cs="Arial"/>
                <w:bCs/>
              </w:rPr>
            </w:pPr>
            <w:r>
              <w:rPr>
                <w:rFonts w:cs="Arial"/>
                <w:bCs/>
              </w:rPr>
              <w:t>ND</w:t>
            </w:r>
          </w:p>
        </w:tc>
      </w:tr>
      <w:tr w:rsidR="00BF5273" w:rsidRPr="00621BF1" w:rsidTr="00A718E5">
        <w:trPr>
          <w:trHeight w:val="871"/>
        </w:trPr>
        <w:tc>
          <w:tcPr>
            <w:tcW w:w="1134" w:type="dxa"/>
            <w:shd w:val="clear" w:color="auto" w:fill="auto"/>
            <w:noWrap/>
            <w:vAlign w:val="center"/>
          </w:tcPr>
          <w:p w:rsidR="00BF5273" w:rsidRPr="009B34D1" w:rsidRDefault="00BF5273" w:rsidP="00A718E5">
            <w:pPr>
              <w:spacing w:after="120" w:line="240" w:lineRule="auto"/>
              <w:jc w:val="both"/>
              <w:rPr>
                <w:rFonts w:cs="Arial"/>
                <w:bCs/>
                <w:color w:val="00B050"/>
                <w:highlight w:val="yellow"/>
              </w:rPr>
            </w:pPr>
            <w:r w:rsidRPr="009B34D1">
              <w:rPr>
                <w:rFonts w:cs="Arial"/>
                <w:bCs/>
                <w:color w:val="00B050"/>
              </w:rPr>
              <w:t>2016</w:t>
            </w:r>
          </w:p>
        </w:tc>
        <w:tc>
          <w:tcPr>
            <w:tcW w:w="1417" w:type="dxa"/>
            <w:noWrap/>
            <w:vAlign w:val="center"/>
          </w:tcPr>
          <w:p w:rsidR="00BF5273" w:rsidRPr="009B34D1" w:rsidRDefault="00BF5273" w:rsidP="00A718E5">
            <w:pPr>
              <w:spacing w:after="120" w:line="240" w:lineRule="auto"/>
              <w:jc w:val="center"/>
              <w:rPr>
                <w:rFonts w:cs="Arial"/>
                <w:bCs/>
                <w:color w:val="00B050"/>
              </w:rPr>
            </w:pPr>
            <w:r w:rsidRPr="009B34D1">
              <w:rPr>
                <w:rFonts w:cs="Arial"/>
                <w:bCs/>
                <w:color w:val="00B050"/>
              </w:rPr>
              <w:t>JNV</w:t>
            </w:r>
          </w:p>
          <w:p w:rsidR="00BF5273" w:rsidRPr="009B34D1" w:rsidRDefault="00BF5273" w:rsidP="00A718E5">
            <w:pPr>
              <w:spacing w:after="120" w:line="240" w:lineRule="auto"/>
              <w:jc w:val="center"/>
              <w:rPr>
                <w:rFonts w:cs="Arial"/>
                <w:bCs/>
                <w:color w:val="00B050"/>
              </w:rPr>
            </w:pPr>
            <w:r w:rsidRPr="009B34D1">
              <w:rPr>
                <w:rFonts w:cs="Arial"/>
                <w:bCs/>
                <w:color w:val="00B050"/>
              </w:rPr>
              <w:t>JNV</w:t>
            </w:r>
          </w:p>
          <w:p w:rsidR="00BF5273" w:rsidRPr="009B34D1" w:rsidRDefault="00BF5273" w:rsidP="00A718E5">
            <w:pPr>
              <w:spacing w:after="120" w:line="240" w:lineRule="auto"/>
              <w:jc w:val="center"/>
              <w:rPr>
                <w:rFonts w:cs="Arial"/>
                <w:bCs/>
                <w:color w:val="00B050"/>
              </w:rPr>
            </w:pPr>
            <w:r w:rsidRPr="009B34D1">
              <w:rPr>
                <w:rFonts w:cs="Arial"/>
                <w:bCs/>
                <w:color w:val="00B050"/>
              </w:rPr>
              <w:t>JLV</w:t>
            </w:r>
          </w:p>
          <w:p w:rsidR="00BF5273" w:rsidRPr="009B34D1" w:rsidRDefault="00BF5273" w:rsidP="00A718E5">
            <w:pPr>
              <w:spacing w:after="120" w:line="240" w:lineRule="auto"/>
              <w:jc w:val="center"/>
              <w:rPr>
                <w:rFonts w:cs="Arial"/>
                <w:bCs/>
                <w:color w:val="00B050"/>
              </w:rPr>
            </w:pPr>
          </w:p>
        </w:tc>
        <w:tc>
          <w:tcPr>
            <w:tcW w:w="3119" w:type="dxa"/>
            <w:shd w:val="clear" w:color="auto" w:fill="auto"/>
            <w:vAlign w:val="center"/>
          </w:tcPr>
          <w:p w:rsidR="00BF5273" w:rsidRPr="009B34D1" w:rsidRDefault="00BF5273" w:rsidP="00A718E5">
            <w:pPr>
              <w:spacing w:after="120" w:line="240" w:lineRule="auto"/>
              <w:jc w:val="center"/>
              <w:rPr>
                <w:rFonts w:cs="Arial"/>
                <w:bCs/>
                <w:color w:val="00B050"/>
              </w:rPr>
            </w:pPr>
            <w:r w:rsidRPr="009B34D1">
              <w:rPr>
                <w:rFonts w:cs="Arial"/>
                <w:bCs/>
                <w:color w:val="00B050"/>
              </w:rPr>
              <w:t>T1=104 ,5%</w:t>
            </w:r>
          </w:p>
          <w:p w:rsidR="00BF5273" w:rsidRPr="009B34D1" w:rsidRDefault="00BF5273" w:rsidP="00A718E5">
            <w:pPr>
              <w:spacing w:after="120" w:line="240" w:lineRule="auto"/>
              <w:jc w:val="center"/>
              <w:rPr>
                <w:rFonts w:cs="Arial"/>
                <w:bCs/>
                <w:color w:val="00B050"/>
              </w:rPr>
            </w:pPr>
            <w:r w:rsidRPr="009B34D1">
              <w:rPr>
                <w:rFonts w:cs="Arial"/>
                <w:bCs/>
                <w:color w:val="00B050"/>
              </w:rPr>
              <w:t>T2=110%</w:t>
            </w:r>
          </w:p>
          <w:p w:rsidR="00BF5273" w:rsidRPr="009B34D1" w:rsidRDefault="00BF5273" w:rsidP="00A718E5">
            <w:pPr>
              <w:spacing w:after="120" w:line="240" w:lineRule="auto"/>
              <w:jc w:val="center"/>
              <w:rPr>
                <w:rFonts w:cs="Arial"/>
                <w:bCs/>
                <w:color w:val="00B050"/>
              </w:rPr>
            </w:pPr>
            <w:r w:rsidRPr="009B34D1">
              <w:rPr>
                <w:rFonts w:cs="Arial"/>
                <w:bCs/>
                <w:color w:val="00B050"/>
              </w:rPr>
              <w:t>T3=115%</w:t>
            </w:r>
          </w:p>
        </w:tc>
        <w:tc>
          <w:tcPr>
            <w:tcW w:w="2689" w:type="dxa"/>
            <w:shd w:val="clear" w:color="auto" w:fill="auto"/>
          </w:tcPr>
          <w:p w:rsidR="00BF5273" w:rsidRPr="009B34D1" w:rsidRDefault="00BF5273" w:rsidP="00A718E5">
            <w:pPr>
              <w:spacing w:after="120" w:line="240" w:lineRule="auto"/>
              <w:jc w:val="center"/>
              <w:rPr>
                <w:rFonts w:cs="Arial"/>
                <w:bCs/>
                <w:color w:val="00B050"/>
              </w:rPr>
            </w:pPr>
            <w:r w:rsidRPr="009B34D1">
              <w:rPr>
                <w:rFonts w:cs="Arial"/>
                <w:bCs/>
                <w:color w:val="00B050"/>
              </w:rPr>
              <w:t>95%</w:t>
            </w:r>
          </w:p>
          <w:p w:rsidR="00BF5273" w:rsidRPr="009B34D1" w:rsidRDefault="00BF5273" w:rsidP="00A718E5">
            <w:pPr>
              <w:spacing w:after="120" w:line="240" w:lineRule="auto"/>
              <w:jc w:val="center"/>
              <w:rPr>
                <w:rFonts w:cs="Arial"/>
                <w:bCs/>
                <w:color w:val="00B050"/>
              </w:rPr>
            </w:pPr>
            <w:r w:rsidRPr="009B34D1">
              <w:rPr>
                <w:rFonts w:cs="Arial"/>
                <w:bCs/>
                <w:color w:val="00B050"/>
              </w:rPr>
              <w:t>94,5%</w:t>
            </w:r>
          </w:p>
          <w:p w:rsidR="00BF5273" w:rsidRPr="009B34D1" w:rsidRDefault="00BF5273" w:rsidP="00A718E5">
            <w:pPr>
              <w:spacing w:after="120" w:line="240" w:lineRule="auto"/>
              <w:jc w:val="center"/>
              <w:rPr>
                <w:rFonts w:cs="Arial"/>
                <w:bCs/>
                <w:color w:val="00B050"/>
              </w:rPr>
            </w:pPr>
            <w:r w:rsidRPr="009B34D1">
              <w:rPr>
                <w:rFonts w:cs="Arial"/>
                <w:bCs/>
                <w:color w:val="00B050"/>
              </w:rPr>
              <w:t>95,50%</w:t>
            </w:r>
          </w:p>
        </w:tc>
      </w:tr>
      <w:tr w:rsidR="00BF5273" w:rsidRPr="00621BF1" w:rsidTr="00A718E5">
        <w:trPr>
          <w:trHeight w:val="1205"/>
        </w:trPr>
        <w:tc>
          <w:tcPr>
            <w:tcW w:w="1134" w:type="dxa"/>
            <w:noWrap/>
            <w:vAlign w:val="center"/>
          </w:tcPr>
          <w:p w:rsidR="00BF5273" w:rsidRPr="009B34D1" w:rsidRDefault="00BF5273" w:rsidP="00A718E5">
            <w:pPr>
              <w:spacing w:after="120" w:line="240" w:lineRule="auto"/>
              <w:jc w:val="both"/>
              <w:rPr>
                <w:rFonts w:cs="Arial"/>
                <w:bCs/>
                <w:color w:val="00B050"/>
              </w:rPr>
            </w:pPr>
            <w:r w:rsidRPr="009B34D1">
              <w:rPr>
                <w:rFonts w:cs="Arial"/>
                <w:bCs/>
                <w:color w:val="00B050"/>
              </w:rPr>
              <w:t>2017</w:t>
            </w:r>
          </w:p>
        </w:tc>
        <w:tc>
          <w:tcPr>
            <w:tcW w:w="1417" w:type="dxa"/>
            <w:noWrap/>
            <w:vAlign w:val="center"/>
          </w:tcPr>
          <w:p w:rsidR="00BF5273" w:rsidRPr="009B34D1" w:rsidRDefault="00BF5273" w:rsidP="00A718E5">
            <w:pPr>
              <w:spacing w:after="120" w:line="240" w:lineRule="auto"/>
              <w:jc w:val="center"/>
              <w:rPr>
                <w:rFonts w:cs="Arial"/>
                <w:bCs/>
                <w:color w:val="00B050"/>
              </w:rPr>
            </w:pPr>
            <w:r w:rsidRPr="009B34D1">
              <w:rPr>
                <w:rFonts w:cs="Arial"/>
                <w:bCs/>
                <w:color w:val="00B050"/>
              </w:rPr>
              <w:t>JNV</w:t>
            </w:r>
          </w:p>
          <w:p w:rsidR="00BF5273" w:rsidRPr="009B34D1" w:rsidRDefault="00BF5273" w:rsidP="00A718E5">
            <w:pPr>
              <w:spacing w:after="120" w:line="240" w:lineRule="auto"/>
              <w:jc w:val="center"/>
              <w:rPr>
                <w:rFonts w:cs="Arial"/>
                <w:bCs/>
                <w:color w:val="00B050"/>
              </w:rPr>
            </w:pPr>
            <w:r w:rsidRPr="009B34D1">
              <w:rPr>
                <w:rFonts w:cs="Arial"/>
                <w:bCs/>
                <w:color w:val="00B050"/>
              </w:rPr>
              <w:t>JNV</w:t>
            </w:r>
          </w:p>
          <w:p w:rsidR="00BF5273" w:rsidRPr="009B34D1" w:rsidRDefault="00BF5273" w:rsidP="00A718E5">
            <w:pPr>
              <w:spacing w:after="120" w:line="240" w:lineRule="auto"/>
              <w:jc w:val="center"/>
              <w:rPr>
                <w:rFonts w:cs="Arial"/>
                <w:bCs/>
                <w:color w:val="00B050"/>
              </w:rPr>
            </w:pPr>
            <w:r w:rsidRPr="009B34D1">
              <w:rPr>
                <w:rFonts w:cs="Arial"/>
                <w:bCs/>
                <w:color w:val="00B050"/>
              </w:rPr>
              <w:t>JNV</w:t>
            </w:r>
          </w:p>
          <w:p w:rsidR="00BF5273" w:rsidRPr="009B34D1" w:rsidRDefault="00BF5273" w:rsidP="00A718E5">
            <w:pPr>
              <w:spacing w:after="120" w:line="240" w:lineRule="auto"/>
              <w:jc w:val="center"/>
              <w:rPr>
                <w:rFonts w:cs="Arial"/>
                <w:bCs/>
                <w:color w:val="00B050"/>
              </w:rPr>
            </w:pPr>
            <w:r w:rsidRPr="009B34D1">
              <w:rPr>
                <w:rFonts w:cs="Arial"/>
                <w:bCs/>
                <w:color w:val="00B050"/>
              </w:rPr>
              <w:t>JLV</w:t>
            </w:r>
          </w:p>
        </w:tc>
        <w:tc>
          <w:tcPr>
            <w:tcW w:w="3119" w:type="dxa"/>
            <w:shd w:val="clear" w:color="auto" w:fill="auto"/>
            <w:vAlign w:val="center"/>
          </w:tcPr>
          <w:p w:rsidR="00BF5273" w:rsidRPr="009B34D1" w:rsidRDefault="00BF5273" w:rsidP="00A718E5">
            <w:pPr>
              <w:spacing w:after="120" w:line="240" w:lineRule="auto"/>
              <w:jc w:val="center"/>
              <w:rPr>
                <w:rFonts w:cs="Arial"/>
                <w:bCs/>
                <w:color w:val="00B050"/>
              </w:rPr>
            </w:pPr>
            <w:r w:rsidRPr="009B34D1">
              <w:rPr>
                <w:rFonts w:cs="Arial"/>
                <w:bCs/>
                <w:color w:val="00B050"/>
              </w:rPr>
              <w:t>T1=108%</w:t>
            </w:r>
          </w:p>
          <w:p w:rsidR="00BF5273" w:rsidRPr="009B34D1" w:rsidRDefault="00BF5273" w:rsidP="00A718E5">
            <w:pPr>
              <w:spacing w:after="120" w:line="240" w:lineRule="auto"/>
              <w:jc w:val="center"/>
              <w:rPr>
                <w:rFonts w:cs="Arial"/>
                <w:bCs/>
                <w:color w:val="00B050"/>
              </w:rPr>
            </w:pPr>
            <w:r w:rsidRPr="009B34D1">
              <w:rPr>
                <w:rFonts w:cs="Arial"/>
                <w:bCs/>
                <w:color w:val="00B050"/>
              </w:rPr>
              <w:t xml:space="preserve">     T2=107,73%</w:t>
            </w:r>
          </w:p>
          <w:p w:rsidR="00BF5273" w:rsidRPr="009B34D1" w:rsidRDefault="00BF5273" w:rsidP="00A718E5">
            <w:pPr>
              <w:spacing w:after="120" w:line="240" w:lineRule="auto"/>
              <w:jc w:val="center"/>
              <w:rPr>
                <w:rFonts w:cs="Arial"/>
                <w:bCs/>
                <w:color w:val="00B050"/>
              </w:rPr>
            </w:pPr>
            <w:r w:rsidRPr="009B34D1">
              <w:rPr>
                <w:rFonts w:cs="Arial"/>
                <w:bCs/>
                <w:color w:val="00B050"/>
              </w:rPr>
              <w:t>T3=103%</w:t>
            </w:r>
          </w:p>
          <w:p w:rsidR="00BF5273" w:rsidRPr="009B34D1" w:rsidRDefault="00BF5273" w:rsidP="00A718E5">
            <w:pPr>
              <w:spacing w:after="120" w:line="240" w:lineRule="auto"/>
              <w:jc w:val="center"/>
              <w:rPr>
                <w:rFonts w:cs="Arial"/>
                <w:bCs/>
                <w:color w:val="00B050"/>
              </w:rPr>
            </w:pPr>
            <w:r w:rsidRPr="009B34D1">
              <w:rPr>
                <w:rFonts w:cs="Arial"/>
                <w:bCs/>
                <w:color w:val="00B050"/>
              </w:rPr>
              <w:t>T4=103,8%</w:t>
            </w:r>
          </w:p>
        </w:tc>
        <w:tc>
          <w:tcPr>
            <w:tcW w:w="2689" w:type="dxa"/>
            <w:shd w:val="clear" w:color="auto" w:fill="auto"/>
          </w:tcPr>
          <w:p w:rsidR="00BF5273" w:rsidRPr="009B34D1" w:rsidRDefault="00BF5273" w:rsidP="00A718E5">
            <w:pPr>
              <w:spacing w:after="120" w:line="240" w:lineRule="auto"/>
              <w:jc w:val="center"/>
              <w:rPr>
                <w:rFonts w:cs="Arial"/>
                <w:bCs/>
                <w:color w:val="00B050"/>
              </w:rPr>
            </w:pPr>
            <w:r w:rsidRPr="009B34D1">
              <w:rPr>
                <w:rFonts w:cs="Arial"/>
                <w:bCs/>
                <w:color w:val="00B050"/>
              </w:rPr>
              <w:t>96,22%</w:t>
            </w:r>
          </w:p>
          <w:p w:rsidR="00BF5273" w:rsidRPr="009B34D1" w:rsidRDefault="00BF5273" w:rsidP="00A718E5">
            <w:pPr>
              <w:spacing w:after="120" w:line="240" w:lineRule="auto"/>
              <w:jc w:val="center"/>
              <w:rPr>
                <w:rFonts w:cs="Arial"/>
                <w:bCs/>
                <w:color w:val="00B050"/>
              </w:rPr>
            </w:pPr>
            <w:r w:rsidRPr="009B34D1">
              <w:rPr>
                <w:rFonts w:cs="Arial"/>
                <w:bCs/>
                <w:color w:val="00B050"/>
              </w:rPr>
              <w:t>96,28%</w:t>
            </w:r>
          </w:p>
          <w:p w:rsidR="00BF5273" w:rsidRPr="009B34D1" w:rsidRDefault="00BF5273" w:rsidP="00A718E5">
            <w:pPr>
              <w:spacing w:after="120" w:line="240" w:lineRule="auto"/>
              <w:jc w:val="center"/>
              <w:rPr>
                <w:rFonts w:cs="Arial"/>
                <w:bCs/>
                <w:color w:val="00B050"/>
              </w:rPr>
            </w:pPr>
            <w:r w:rsidRPr="009B34D1">
              <w:rPr>
                <w:rFonts w:cs="Arial"/>
                <w:bCs/>
                <w:color w:val="00B050"/>
              </w:rPr>
              <w:t>ND</w:t>
            </w:r>
          </w:p>
          <w:p w:rsidR="00BF5273" w:rsidRPr="009B34D1" w:rsidRDefault="00BF5273" w:rsidP="00A718E5">
            <w:pPr>
              <w:spacing w:after="120" w:line="240" w:lineRule="auto"/>
              <w:jc w:val="center"/>
              <w:rPr>
                <w:rFonts w:cs="Arial"/>
                <w:bCs/>
                <w:color w:val="00B050"/>
              </w:rPr>
            </w:pPr>
            <w:r w:rsidRPr="009B34D1">
              <w:rPr>
                <w:rFonts w:cs="Arial"/>
                <w:bCs/>
                <w:color w:val="00B050"/>
              </w:rPr>
              <w:t>95,30%</w:t>
            </w:r>
          </w:p>
          <w:p w:rsidR="00BF5273" w:rsidRPr="009B34D1" w:rsidRDefault="00BF5273" w:rsidP="00A718E5">
            <w:pPr>
              <w:spacing w:after="120" w:line="240" w:lineRule="auto"/>
              <w:jc w:val="center"/>
              <w:rPr>
                <w:rFonts w:cs="Arial"/>
                <w:bCs/>
                <w:color w:val="00B050"/>
              </w:rPr>
            </w:pPr>
          </w:p>
        </w:tc>
      </w:tr>
    </w:tbl>
    <w:p w:rsidR="00BF5273" w:rsidRPr="00621BF1" w:rsidRDefault="00BF5273" w:rsidP="00BF5273">
      <w:pPr>
        <w:shd w:val="clear" w:color="auto" w:fill="FFFFFF"/>
        <w:spacing w:after="120"/>
        <w:jc w:val="both"/>
        <w:rPr>
          <w:rFonts w:cs="Arial"/>
          <w:bCs/>
        </w:rPr>
      </w:pPr>
      <w:r w:rsidRPr="00621BF1">
        <w:rPr>
          <w:rFonts w:cs="Arial"/>
          <w:bCs/>
        </w:rPr>
        <w:t>Sources : Rapports annuels du PEV,  JRF</w:t>
      </w:r>
    </w:p>
    <w:p w:rsidR="00BF5273" w:rsidRPr="009B34D1" w:rsidRDefault="00BF5273" w:rsidP="00BF5273">
      <w:pPr>
        <w:pStyle w:val="Titre4"/>
      </w:pPr>
      <w:r w:rsidRPr="009B34D1">
        <w:t xml:space="preserve">Campagnes Vaccination contre la Rougeole  </w:t>
      </w:r>
    </w:p>
    <w:p w:rsidR="00BF5273" w:rsidRDefault="00BF5273" w:rsidP="00BF5273">
      <w:pPr>
        <w:spacing w:after="120"/>
        <w:jc w:val="both"/>
        <w:rPr>
          <w:rFonts w:cs="Arial"/>
          <w:bCs/>
          <w:color w:val="00B050"/>
        </w:rPr>
      </w:pPr>
      <w:r w:rsidRPr="009B34D1">
        <w:rPr>
          <w:rFonts w:cs="Arial"/>
          <w:bCs/>
          <w:color w:val="00B050"/>
        </w:rPr>
        <w:t xml:space="preserve">Dans le cadre du contrôle de la rougeole, la Guinée a organisé, depuis 2012 deux campagnes de suivi (2012 et 2016) et une campagne </w:t>
      </w:r>
      <w:r>
        <w:rPr>
          <w:rFonts w:cs="Arial"/>
          <w:bCs/>
          <w:color w:val="00B050"/>
        </w:rPr>
        <w:t xml:space="preserve">nationale </w:t>
      </w:r>
      <w:r w:rsidRPr="009B34D1">
        <w:rPr>
          <w:rFonts w:cs="Arial"/>
          <w:bCs/>
          <w:color w:val="00B050"/>
        </w:rPr>
        <w:t>de riposte en 2017</w:t>
      </w:r>
      <w:r>
        <w:rPr>
          <w:rFonts w:cs="Arial"/>
          <w:bCs/>
          <w:color w:val="00B050"/>
        </w:rPr>
        <w:t xml:space="preserve">. </w:t>
      </w:r>
      <w:r w:rsidRPr="009B34D1">
        <w:rPr>
          <w:rFonts w:cs="Arial"/>
          <w:bCs/>
          <w:color w:val="00B050"/>
        </w:rPr>
        <w:t>Ces interventions supplémentaires ont permis de toucher le maximum d’enfants cibles</w:t>
      </w:r>
    </w:p>
    <w:p w:rsidR="00BF5273" w:rsidRPr="009B34D1" w:rsidRDefault="00BF5273" w:rsidP="00BF5273">
      <w:pPr>
        <w:spacing w:after="120"/>
        <w:jc w:val="both"/>
        <w:rPr>
          <w:rFonts w:cs="Arial"/>
          <w:bCs/>
          <w:color w:val="00B050"/>
        </w:rPr>
      </w:pPr>
      <w:r>
        <w:rPr>
          <w:rFonts w:cs="Arial"/>
          <w:bCs/>
          <w:color w:val="00B050"/>
        </w:rPr>
        <w:lastRenderedPageBreak/>
        <w:t>Au cours de l’année 2017 en plus de la campagne nationale, trois JLV en Mars ; avril et Mai</w:t>
      </w:r>
      <w:r w:rsidRPr="009B34D1">
        <w:rPr>
          <w:rFonts w:cs="Arial"/>
          <w:bCs/>
          <w:color w:val="00B050"/>
        </w:rPr>
        <w:t>.</w:t>
      </w:r>
      <w:r>
        <w:rPr>
          <w:rFonts w:cs="Arial"/>
          <w:bCs/>
          <w:color w:val="00B050"/>
        </w:rPr>
        <w:t xml:space="preserve"> : </w:t>
      </w:r>
      <w:proofErr w:type="gramStart"/>
      <w:r>
        <w:rPr>
          <w:rFonts w:cs="Arial"/>
          <w:bCs/>
          <w:color w:val="00B050"/>
        </w:rPr>
        <w:t>en</w:t>
      </w:r>
      <w:proofErr w:type="gramEnd"/>
      <w:r>
        <w:rPr>
          <w:rFonts w:cs="Arial"/>
          <w:bCs/>
          <w:color w:val="00B050"/>
        </w:rPr>
        <w:t xml:space="preserve"> avril 1 315 918  enfants de 6-59 mois ont été touchés</w:t>
      </w:r>
      <w:r w:rsidRPr="009B34D1">
        <w:rPr>
          <w:rFonts w:cs="Arial"/>
          <w:bCs/>
          <w:color w:val="00B050"/>
        </w:rPr>
        <w:t>.</w:t>
      </w:r>
    </w:p>
    <w:p w:rsidR="00BF5273" w:rsidRPr="00536D43" w:rsidRDefault="00BF5273" w:rsidP="00BF5273">
      <w:pPr>
        <w:spacing w:after="120"/>
        <w:jc w:val="both"/>
        <w:rPr>
          <w:sz w:val="24"/>
          <w:szCs w:val="24"/>
        </w:rPr>
      </w:pPr>
      <w:r>
        <w:rPr>
          <w:sz w:val="24"/>
          <w:szCs w:val="24"/>
        </w:rPr>
        <w:t xml:space="preserve"> </w:t>
      </w:r>
      <w:r w:rsidRPr="00536D43">
        <w:rPr>
          <w:color w:val="00B050"/>
          <w:sz w:val="24"/>
          <w:szCs w:val="24"/>
        </w:rPr>
        <w:t>Au niveau national, les taux de couverture vaccinale administrative en VAR chez les enfants de 9 à 59 mois varie de   95% en 2012 à 104 % en 2017. Les taux de couverture des enquêtes  post campagne varie de 91% en 2012 à 93 % en 2017. Par rapport à l’objectif de couverture vaccinale de 95% pour ces campagnes, cet objectif n’est pas atteint (enquête couverture post campagne).</w:t>
      </w:r>
    </w:p>
    <w:p w:rsidR="00BF5273" w:rsidRPr="00536D43" w:rsidRDefault="00BF5273" w:rsidP="00BF5273">
      <w:pPr>
        <w:spacing w:after="120"/>
        <w:jc w:val="both"/>
        <w:rPr>
          <w:color w:val="00B050"/>
          <w:sz w:val="24"/>
          <w:szCs w:val="24"/>
        </w:rPr>
      </w:pPr>
      <w:r w:rsidRPr="00536D43">
        <w:rPr>
          <w:color w:val="00B050"/>
          <w:sz w:val="24"/>
          <w:szCs w:val="24"/>
        </w:rPr>
        <w:t xml:space="preserve">Ces faibles couvertures s’expliquent d’une part par le non-respect de la stratégie fixe par les parents d’enfants habitués au porte à porte des nombreuses JNV organisées ces dernières années. </w:t>
      </w:r>
    </w:p>
    <w:p w:rsidR="00BF5273" w:rsidRPr="00536D43" w:rsidRDefault="00BF5273" w:rsidP="00BF5273">
      <w:pPr>
        <w:spacing w:after="120"/>
        <w:jc w:val="both"/>
        <w:rPr>
          <w:color w:val="00B050"/>
          <w:sz w:val="24"/>
          <w:szCs w:val="24"/>
        </w:rPr>
      </w:pPr>
      <w:r w:rsidRPr="00536D43">
        <w:rPr>
          <w:color w:val="00B050"/>
          <w:sz w:val="24"/>
          <w:szCs w:val="24"/>
        </w:rPr>
        <w:t>En ce qui concerne les zéros doses, beaucoup d’enfants ont été touchés pour la première fois  (9515 en 2012) dans l’ensemble du pays. Cette situation interpelle les équipes des districts sanitaires et des centres de santé à renforcer la vaccination de routine.</w:t>
      </w:r>
    </w:p>
    <w:p w:rsidR="00BF5273" w:rsidRPr="00536D43" w:rsidRDefault="00BF5273" w:rsidP="00BF5273">
      <w:pPr>
        <w:spacing w:after="120"/>
        <w:jc w:val="both"/>
        <w:rPr>
          <w:rFonts w:cs="Arial"/>
          <w:bCs/>
          <w:color w:val="00B050"/>
          <w:highlight w:val="yellow"/>
        </w:rPr>
      </w:pPr>
      <w:r w:rsidRPr="00536D43">
        <w:rPr>
          <w:color w:val="00B050"/>
          <w:sz w:val="24"/>
          <w:szCs w:val="24"/>
        </w:rPr>
        <w:t>Quant aux MAPI mineures, des  cas ont été notifiés et pris en charge. Il n’a pas été enregistré de MAPI graves</w:t>
      </w:r>
      <w:r w:rsidRPr="00536D43">
        <w:rPr>
          <w:rFonts w:cs="Arial"/>
          <w:bCs/>
          <w:color w:val="00B050"/>
          <w:highlight w:val="yellow"/>
        </w:rPr>
        <w:t xml:space="preserve"> </w:t>
      </w:r>
    </w:p>
    <w:p w:rsidR="00BF5273" w:rsidRPr="00114B8A" w:rsidRDefault="00BF5273" w:rsidP="00BF5273">
      <w:pPr>
        <w:rPr>
          <w:lang w:eastAsia="fr-FR"/>
        </w:rPr>
      </w:pPr>
      <w:r w:rsidRPr="00114B8A">
        <w:rPr>
          <w:lang w:eastAsia="fr-FR"/>
        </w:rPr>
        <w:t xml:space="preserve">Résultats des campagnes de vaccination contre la rougeole de 2012, 2016 et 2017(Suivi et riposte) </w:t>
      </w:r>
    </w:p>
    <w:tbl>
      <w:tblPr>
        <w:tblW w:w="84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134"/>
        <w:gridCol w:w="1276"/>
        <w:gridCol w:w="2070"/>
      </w:tblGrid>
      <w:tr w:rsidR="00BF5273" w:rsidRPr="002C554B" w:rsidTr="00A718E5">
        <w:trPr>
          <w:trHeight w:val="113"/>
        </w:trPr>
        <w:tc>
          <w:tcPr>
            <w:tcW w:w="3969" w:type="dxa"/>
            <w:shd w:val="clear" w:color="auto" w:fill="auto"/>
            <w:noWrap/>
            <w:vAlign w:val="bottom"/>
            <w:hideMark/>
          </w:tcPr>
          <w:p w:rsidR="00BF5273" w:rsidRPr="00536D43" w:rsidRDefault="00BF5273" w:rsidP="00A718E5">
            <w:pPr>
              <w:spacing w:after="0" w:line="240" w:lineRule="auto"/>
              <w:jc w:val="right"/>
              <w:rPr>
                <w:rFonts w:ascii="Calibri" w:eastAsia="Times New Roman" w:hAnsi="Calibri" w:cs="Times New Roman"/>
                <w:b/>
                <w:color w:val="00B050"/>
                <w:lang w:eastAsia="fr-FR"/>
              </w:rPr>
            </w:pPr>
            <w:r w:rsidRPr="00536D43">
              <w:rPr>
                <w:rFonts w:ascii="Calibri" w:eastAsia="Times New Roman" w:hAnsi="Calibri" w:cs="Times New Roman"/>
                <w:color w:val="00B050"/>
                <w:lang w:eastAsia="fr-FR"/>
              </w:rPr>
              <w:t xml:space="preserve">                                                   </w:t>
            </w:r>
            <w:r w:rsidRPr="00536D43">
              <w:rPr>
                <w:rFonts w:ascii="Calibri" w:eastAsia="Times New Roman" w:hAnsi="Calibri" w:cs="Times New Roman"/>
                <w:b/>
                <w:color w:val="00B050"/>
                <w:lang w:eastAsia="fr-FR"/>
              </w:rPr>
              <w:t>Année</w:t>
            </w:r>
          </w:p>
          <w:p w:rsidR="00BF5273" w:rsidRPr="00536D43" w:rsidRDefault="00BF5273" w:rsidP="00A718E5">
            <w:pPr>
              <w:spacing w:after="0" w:line="240" w:lineRule="auto"/>
              <w:rPr>
                <w:rFonts w:ascii="Calibri" w:eastAsia="Times New Roman" w:hAnsi="Calibri" w:cs="Times New Roman"/>
                <w:color w:val="00B050"/>
                <w:lang w:eastAsia="fr-FR"/>
              </w:rPr>
            </w:pPr>
            <w:r w:rsidRPr="00536D43">
              <w:rPr>
                <w:rFonts w:ascii="Calibri" w:eastAsia="Times New Roman" w:hAnsi="Calibri" w:cs="Times New Roman"/>
                <w:b/>
                <w:color w:val="00B050"/>
                <w:lang w:eastAsia="fr-FR"/>
              </w:rPr>
              <w:t>Taux de couverture</w:t>
            </w:r>
          </w:p>
        </w:tc>
        <w:tc>
          <w:tcPr>
            <w:tcW w:w="1134" w:type="dxa"/>
            <w:shd w:val="clear" w:color="auto" w:fill="auto"/>
            <w:noWrap/>
            <w:vAlign w:val="bottom"/>
            <w:hideMark/>
          </w:tcPr>
          <w:p w:rsidR="00BF5273" w:rsidRPr="00536D43" w:rsidRDefault="00BF5273" w:rsidP="00A718E5">
            <w:pPr>
              <w:spacing w:after="0" w:line="240" w:lineRule="auto"/>
              <w:jc w:val="center"/>
              <w:rPr>
                <w:rFonts w:ascii="Calibri" w:eastAsia="Times New Roman" w:hAnsi="Calibri" w:cs="Times New Roman"/>
                <w:color w:val="00B050"/>
                <w:lang w:eastAsia="fr-FR"/>
              </w:rPr>
            </w:pPr>
            <w:r w:rsidRPr="00536D43">
              <w:rPr>
                <w:rFonts w:ascii="Calibri" w:eastAsia="Times New Roman" w:hAnsi="Calibri" w:cs="Times New Roman"/>
                <w:color w:val="00B050"/>
                <w:lang w:eastAsia="fr-FR"/>
              </w:rPr>
              <w:t>2012</w:t>
            </w:r>
          </w:p>
        </w:tc>
        <w:tc>
          <w:tcPr>
            <w:tcW w:w="1276" w:type="dxa"/>
            <w:shd w:val="clear" w:color="auto" w:fill="auto"/>
            <w:noWrap/>
            <w:vAlign w:val="bottom"/>
            <w:hideMark/>
          </w:tcPr>
          <w:p w:rsidR="00BF5273" w:rsidRPr="00536D43" w:rsidRDefault="00BF5273" w:rsidP="00A718E5">
            <w:pPr>
              <w:spacing w:after="0" w:line="240" w:lineRule="auto"/>
              <w:jc w:val="center"/>
              <w:rPr>
                <w:rFonts w:ascii="Calibri" w:eastAsia="Times New Roman" w:hAnsi="Calibri" w:cs="Times New Roman"/>
                <w:color w:val="00B050"/>
                <w:lang w:eastAsia="fr-FR"/>
              </w:rPr>
            </w:pPr>
            <w:r w:rsidRPr="00536D43">
              <w:rPr>
                <w:rFonts w:ascii="Calibri" w:eastAsia="Times New Roman" w:hAnsi="Calibri" w:cs="Times New Roman"/>
                <w:color w:val="00B050"/>
                <w:lang w:eastAsia="fr-FR"/>
              </w:rPr>
              <w:t>2016</w:t>
            </w:r>
          </w:p>
        </w:tc>
        <w:tc>
          <w:tcPr>
            <w:tcW w:w="2070" w:type="dxa"/>
            <w:shd w:val="clear" w:color="auto" w:fill="auto"/>
            <w:noWrap/>
            <w:vAlign w:val="bottom"/>
            <w:hideMark/>
          </w:tcPr>
          <w:p w:rsidR="00BF5273" w:rsidRPr="00536D43" w:rsidRDefault="00BF5273" w:rsidP="00A718E5">
            <w:pPr>
              <w:spacing w:after="0" w:line="240" w:lineRule="auto"/>
              <w:jc w:val="center"/>
              <w:rPr>
                <w:rFonts w:ascii="Calibri" w:eastAsia="Times New Roman" w:hAnsi="Calibri" w:cs="Times New Roman"/>
                <w:color w:val="00B050"/>
                <w:lang w:eastAsia="fr-FR"/>
              </w:rPr>
            </w:pPr>
            <w:r w:rsidRPr="00536D43">
              <w:rPr>
                <w:rFonts w:ascii="Calibri" w:eastAsia="Times New Roman" w:hAnsi="Calibri" w:cs="Times New Roman"/>
                <w:color w:val="00B050"/>
                <w:lang w:eastAsia="fr-FR"/>
              </w:rPr>
              <w:t>2017</w:t>
            </w:r>
          </w:p>
        </w:tc>
      </w:tr>
      <w:tr w:rsidR="00BF5273" w:rsidRPr="002C554B" w:rsidTr="00A718E5">
        <w:trPr>
          <w:trHeight w:val="340"/>
        </w:trPr>
        <w:tc>
          <w:tcPr>
            <w:tcW w:w="3969" w:type="dxa"/>
            <w:shd w:val="clear" w:color="auto" w:fill="auto"/>
            <w:noWrap/>
            <w:vAlign w:val="bottom"/>
            <w:hideMark/>
          </w:tcPr>
          <w:p w:rsidR="00BF5273" w:rsidRPr="00536D43" w:rsidRDefault="00BF5273" w:rsidP="00A718E5">
            <w:pPr>
              <w:spacing w:after="0" w:line="240" w:lineRule="auto"/>
              <w:rPr>
                <w:rFonts w:ascii="Calibri" w:eastAsia="Times New Roman" w:hAnsi="Calibri" w:cs="Times New Roman"/>
                <w:color w:val="00B050"/>
                <w:lang w:eastAsia="fr-FR"/>
              </w:rPr>
            </w:pPr>
            <w:r w:rsidRPr="00536D43">
              <w:rPr>
                <w:rFonts w:ascii="Calibri" w:eastAsia="Times New Roman" w:hAnsi="Calibri" w:cs="Times New Roman"/>
                <w:color w:val="00B050"/>
                <w:lang w:eastAsia="fr-FR"/>
              </w:rPr>
              <w:t>Taux de CV Administrative CAR</w:t>
            </w:r>
          </w:p>
        </w:tc>
        <w:tc>
          <w:tcPr>
            <w:tcW w:w="1134" w:type="dxa"/>
            <w:shd w:val="clear" w:color="auto" w:fill="auto"/>
            <w:noWrap/>
            <w:vAlign w:val="bottom"/>
            <w:hideMark/>
          </w:tcPr>
          <w:p w:rsidR="00BF5273" w:rsidRPr="00536D43" w:rsidRDefault="00BF5273" w:rsidP="00A718E5">
            <w:pPr>
              <w:spacing w:after="0" w:line="240" w:lineRule="auto"/>
              <w:jc w:val="center"/>
              <w:rPr>
                <w:rFonts w:ascii="Calibri" w:eastAsia="Times New Roman" w:hAnsi="Calibri" w:cs="Times New Roman"/>
                <w:color w:val="00B050"/>
                <w:lang w:eastAsia="fr-FR"/>
              </w:rPr>
            </w:pPr>
            <w:r w:rsidRPr="00536D43">
              <w:rPr>
                <w:rFonts w:ascii="Calibri" w:eastAsia="Times New Roman" w:hAnsi="Calibri" w:cs="Times New Roman"/>
                <w:color w:val="00B050"/>
                <w:lang w:eastAsia="fr-FR"/>
              </w:rPr>
              <w:t>95%</w:t>
            </w:r>
          </w:p>
        </w:tc>
        <w:tc>
          <w:tcPr>
            <w:tcW w:w="1276" w:type="dxa"/>
            <w:shd w:val="clear" w:color="auto" w:fill="auto"/>
            <w:noWrap/>
            <w:vAlign w:val="bottom"/>
            <w:hideMark/>
          </w:tcPr>
          <w:p w:rsidR="00BF5273" w:rsidRPr="00536D43" w:rsidRDefault="00BF5273" w:rsidP="00A718E5">
            <w:pPr>
              <w:spacing w:after="0" w:line="240" w:lineRule="auto"/>
              <w:jc w:val="center"/>
              <w:rPr>
                <w:rFonts w:ascii="Calibri" w:eastAsia="Times New Roman" w:hAnsi="Calibri" w:cs="Times New Roman"/>
                <w:color w:val="00B050"/>
                <w:lang w:eastAsia="fr-FR"/>
              </w:rPr>
            </w:pPr>
            <w:r w:rsidRPr="00536D43">
              <w:rPr>
                <w:rFonts w:ascii="Calibri" w:eastAsia="Times New Roman" w:hAnsi="Calibri" w:cs="Times New Roman"/>
                <w:color w:val="00B050"/>
                <w:lang w:eastAsia="fr-FR"/>
              </w:rPr>
              <w:t>103%</w:t>
            </w:r>
          </w:p>
        </w:tc>
        <w:tc>
          <w:tcPr>
            <w:tcW w:w="2070" w:type="dxa"/>
            <w:shd w:val="clear" w:color="auto" w:fill="auto"/>
            <w:noWrap/>
            <w:vAlign w:val="bottom"/>
            <w:hideMark/>
          </w:tcPr>
          <w:p w:rsidR="00BF5273" w:rsidRDefault="00BF5273" w:rsidP="00A718E5">
            <w:pPr>
              <w:spacing w:after="0" w:line="240" w:lineRule="auto"/>
              <w:jc w:val="center"/>
              <w:rPr>
                <w:rFonts w:ascii="Calibri" w:eastAsia="Times New Roman" w:hAnsi="Calibri" w:cs="Times New Roman"/>
                <w:color w:val="00B050"/>
                <w:lang w:eastAsia="fr-FR"/>
              </w:rPr>
            </w:pPr>
            <w:r>
              <w:rPr>
                <w:rFonts w:ascii="Calibri" w:eastAsia="Times New Roman" w:hAnsi="Calibri" w:cs="Times New Roman"/>
                <w:color w:val="00B050"/>
                <w:lang w:eastAsia="fr-FR"/>
              </w:rPr>
              <w:t>JNV=</w:t>
            </w:r>
            <w:r w:rsidRPr="00536D43">
              <w:rPr>
                <w:rFonts w:ascii="Calibri" w:eastAsia="Times New Roman" w:hAnsi="Calibri" w:cs="Times New Roman"/>
                <w:color w:val="00B050"/>
                <w:lang w:eastAsia="fr-FR"/>
              </w:rPr>
              <w:t>104%</w:t>
            </w:r>
          </w:p>
          <w:p w:rsidR="00BF5273" w:rsidRDefault="00BF5273" w:rsidP="00A718E5">
            <w:pPr>
              <w:spacing w:after="0" w:line="240" w:lineRule="auto"/>
              <w:jc w:val="center"/>
              <w:rPr>
                <w:rFonts w:ascii="Calibri" w:eastAsia="Times New Roman" w:hAnsi="Calibri" w:cs="Times New Roman"/>
                <w:color w:val="00B050"/>
                <w:lang w:eastAsia="fr-FR"/>
              </w:rPr>
            </w:pPr>
            <w:r>
              <w:rPr>
                <w:rFonts w:ascii="Calibri" w:eastAsia="Times New Roman" w:hAnsi="Calibri" w:cs="Times New Roman"/>
                <w:color w:val="00B050"/>
                <w:lang w:eastAsia="fr-FR"/>
              </w:rPr>
              <w:t>JLV=104%</w:t>
            </w:r>
          </w:p>
          <w:p w:rsidR="00BF5273" w:rsidRDefault="00BF5273" w:rsidP="00A718E5">
            <w:pPr>
              <w:spacing w:after="0" w:line="240" w:lineRule="auto"/>
              <w:jc w:val="center"/>
              <w:rPr>
                <w:rFonts w:ascii="Calibri" w:eastAsia="Times New Roman" w:hAnsi="Calibri" w:cs="Times New Roman"/>
                <w:color w:val="00B050"/>
                <w:lang w:eastAsia="fr-FR"/>
              </w:rPr>
            </w:pPr>
            <w:r>
              <w:rPr>
                <w:rFonts w:ascii="Calibri" w:eastAsia="Times New Roman" w:hAnsi="Calibri" w:cs="Times New Roman"/>
                <w:color w:val="00B050"/>
                <w:lang w:eastAsia="fr-FR"/>
              </w:rPr>
              <w:t>JLV=97%</w:t>
            </w:r>
          </w:p>
          <w:p w:rsidR="00BF5273" w:rsidRPr="00536D43" w:rsidRDefault="00BF5273" w:rsidP="00A718E5">
            <w:pPr>
              <w:spacing w:after="0" w:line="240" w:lineRule="auto"/>
              <w:jc w:val="center"/>
              <w:rPr>
                <w:rFonts w:ascii="Calibri" w:eastAsia="Times New Roman" w:hAnsi="Calibri" w:cs="Times New Roman"/>
                <w:color w:val="00B050"/>
                <w:lang w:eastAsia="fr-FR"/>
              </w:rPr>
            </w:pPr>
            <w:r>
              <w:rPr>
                <w:rFonts w:ascii="Calibri" w:eastAsia="Times New Roman" w:hAnsi="Calibri" w:cs="Times New Roman"/>
                <w:color w:val="00B050"/>
                <w:lang w:eastAsia="fr-FR"/>
              </w:rPr>
              <w:t>JLV=104%</w:t>
            </w:r>
          </w:p>
        </w:tc>
      </w:tr>
      <w:tr w:rsidR="00BF5273" w:rsidRPr="002C554B" w:rsidTr="00A718E5">
        <w:trPr>
          <w:trHeight w:val="340"/>
        </w:trPr>
        <w:tc>
          <w:tcPr>
            <w:tcW w:w="3969" w:type="dxa"/>
            <w:shd w:val="clear" w:color="auto" w:fill="auto"/>
            <w:noWrap/>
            <w:vAlign w:val="bottom"/>
            <w:hideMark/>
          </w:tcPr>
          <w:p w:rsidR="00BF5273" w:rsidRPr="00536D43" w:rsidRDefault="00BF5273" w:rsidP="00A718E5">
            <w:pPr>
              <w:spacing w:after="0" w:line="240" w:lineRule="auto"/>
              <w:rPr>
                <w:rFonts w:ascii="Calibri" w:eastAsia="Times New Roman" w:hAnsi="Calibri" w:cs="Times New Roman"/>
                <w:color w:val="00B050"/>
                <w:lang w:eastAsia="fr-FR"/>
              </w:rPr>
            </w:pPr>
            <w:r w:rsidRPr="00536D43">
              <w:rPr>
                <w:rFonts w:ascii="Calibri" w:eastAsia="Times New Roman" w:hAnsi="Calibri" w:cs="Times New Roman"/>
                <w:color w:val="00B050"/>
                <w:lang w:eastAsia="fr-FR"/>
              </w:rPr>
              <w:t>CV Enquête post campagne</w:t>
            </w:r>
          </w:p>
        </w:tc>
        <w:tc>
          <w:tcPr>
            <w:tcW w:w="1134" w:type="dxa"/>
            <w:shd w:val="clear" w:color="auto" w:fill="auto"/>
            <w:noWrap/>
            <w:vAlign w:val="bottom"/>
            <w:hideMark/>
          </w:tcPr>
          <w:p w:rsidR="00BF5273" w:rsidRPr="00536D43" w:rsidRDefault="00BF5273" w:rsidP="00A718E5">
            <w:pPr>
              <w:spacing w:after="0" w:line="240" w:lineRule="auto"/>
              <w:jc w:val="center"/>
              <w:rPr>
                <w:rFonts w:ascii="Calibri" w:eastAsia="Times New Roman" w:hAnsi="Calibri" w:cs="Times New Roman"/>
                <w:color w:val="00B050"/>
                <w:lang w:eastAsia="fr-FR"/>
              </w:rPr>
            </w:pPr>
            <w:r w:rsidRPr="00536D43">
              <w:rPr>
                <w:rFonts w:ascii="Calibri" w:eastAsia="Times New Roman" w:hAnsi="Calibri" w:cs="Times New Roman"/>
                <w:color w:val="00B050"/>
                <w:lang w:eastAsia="fr-FR"/>
              </w:rPr>
              <w:t>91%</w:t>
            </w:r>
          </w:p>
        </w:tc>
        <w:tc>
          <w:tcPr>
            <w:tcW w:w="1276" w:type="dxa"/>
            <w:shd w:val="clear" w:color="auto" w:fill="auto"/>
            <w:noWrap/>
            <w:vAlign w:val="bottom"/>
            <w:hideMark/>
          </w:tcPr>
          <w:p w:rsidR="00BF5273" w:rsidRPr="00536D43" w:rsidRDefault="00BF5273" w:rsidP="00A718E5">
            <w:pPr>
              <w:spacing w:after="0" w:line="240" w:lineRule="auto"/>
              <w:jc w:val="center"/>
              <w:rPr>
                <w:rFonts w:ascii="Calibri" w:eastAsia="Times New Roman" w:hAnsi="Calibri" w:cs="Times New Roman"/>
                <w:color w:val="00B050"/>
                <w:lang w:eastAsia="fr-FR"/>
              </w:rPr>
            </w:pPr>
            <w:r w:rsidRPr="00536D43">
              <w:rPr>
                <w:rFonts w:ascii="Calibri" w:eastAsia="Times New Roman" w:hAnsi="Calibri" w:cs="Times New Roman"/>
                <w:color w:val="00B050"/>
                <w:lang w:eastAsia="fr-FR"/>
              </w:rPr>
              <w:t>93%</w:t>
            </w:r>
          </w:p>
        </w:tc>
        <w:tc>
          <w:tcPr>
            <w:tcW w:w="2070" w:type="dxa"/>
            <w:shd w:val="clear" w:color="auto" w:fill="auto"/>
            <w:noWrap/>
            <w:vAlign w:val="bottom"/>
            <w:hideMark/>
          </w:tcPr>
          <w:p w:rsidR="00BF5273" w:rsidRPr="00536D43" w:rsidRDefault="00BF5273" w:rsidP="00A718E5">
            <w:pPr>
              <w:spacing w:after="0" w:line="240" w:lineRule="auto"/>
              <w:jc w:val="center"/>
              <w:rPr>
                <w:rFonts w:ascii="Calibri" w:eastAsia="Times New Roman" w:hAnsi="Calibri" w:cs="Times New Roman"/>
                <w:color w:val="00B050"/>
                <w:lang w:eastAsia="fr-FR"/>
              </w:rPr>
            </w:pPr>
            <w:r>
              <w:rPr>
                <w:rFonts w:ascii="Calibri" w:eastAsia="Times New Roman" w:hAnsi="Calibri" w:cs="Times New Roman"/>
                <w:color w:val="00B050"/>
                <w:lang w:eastAsia="fr-FR"/>
              </w:rPr>
              <w:t>JNV=</w:t>
            </w:r>
            <w:r w:rsidRPr="00536D43">
              <w:rPr>
                <w:rFonts w:ascii="Calibri" w:eastAsia="Times New Roman" w:hAnsi="Calibri" w:cs="Times New Roman"/>
                <w:color w:val="00B050"/>
                <w:lang w:eastAsia="fr-FR"/>
              </w:rPr>
              <w:t>93%</w:t>
            </w:r>
          </w:p>
        </w:tc>
      </w:tr>
    </w:tbl>
    <w:p w:rsidR="00BF5273" w:rsidRDefault="00BF5273" w:rsidP="00BF5273">
      <w:pPr>
        <w:rPr>
          <w:rFonts w:cs="Arial"/>
          <w:bCs/>
          <w:highlight w:val="yellow"/>
        </w:rPr>
      </w:pPr>
    </w:p>
    <w:p w:rsidR="00BF5273" w:rsidRPr="00F108AE" w:rsidRDefault="00BF5273" w:rsidP="00BF5273">
      <w:pPr>
        <w:rPr>
          <w:rFonts w:asciiTheme="majorBidi" w:hAnsiTheme="majorBidi" w:cstheme="majorBidi"/>
          <w:b/>
          <w:i/>
          <w:lang w:val="fr-CI"/>
        </w:rPr>
      </w:pPr>
      <w:r w:rsidRPr="00F108AE">
        <w:rPr>
          <w:rFonts w:asciiTheme="majorBidi" w:hAnsiTheme="majorBidi" w:cstheme="majorBidi"/>
          <w:b/>
          <w:i/>
          <w:lang w:val="fr-CI"/>
        </w:rPr>
        <w:t xml:space="preserve">La couverture post-campagne de vaccination des enfants de 9-59 </w:t>
      </w:r>
      <w:r>
        <w:rPr>
          <w:rFonts w:asciiTheme="majorBidi" w:hAnsiTheme="majorBidi" w:cstheme="majorBidi"/>
          <w:b/>
          <w:i/>
          <w:lang w:val="fr-CI"/>
        </w:rPr>
        <w:t>mois</w:t>
      </w:r>
      <w:r w:rsidRPr="00F108AE">
        <w:rPr>
          <w:rFonts w:asciiTheme="majorBidi" w:hAnsiTheme="majorBidi" w:cstheme="majorBidi"/>
          <w:b/>
          <w:i/>
          <w:lang w:val="fr-CI"/>
        </w:rPr>
        <w:t xml:space="preserve"> est plus élevée en milieu rural qu’en milieu urbain </w:t>
      </w:r>
    </w:p>
    <w:p w:rsidR="00BF5273" w:rsidRPr="00114B8A" w:rsidRDefault="00BF5273" w:rsidP="00BF5273">
      <w:pPr>
        <w:jc w:val="both"/>
        <w:rPr>
          <w:rFonts w:asciiTheme="majorBidi" w:eastAsia="Calibri" w:hAnsiTheme="majorBidi" w:cstheme="majorBidi"/>
          <w:szCs w:val="24"/>
        </w:rPr>
      </w:pPr>
      <w:r w:rsidRPr="006A738C">
        <w:rPr>
          <w:rFonts w:asciiTheme="majorBidi" w:eastAsia="Calibri" w:hAnsiTheme="majorBidi" w:cstheme="majorBidi"/>
          <w:szCs w:val="24"/>
        </w:rPr>
        <w:t>Au niveau du milieu de résidence, la couverture post-campagne est significativement plus élevée en milieu rural (93,7% ; IC : 92,9%-94,4%)  qu’en milieu urbain (91,5% ; IC : 90,6%-92,4%), soit un écart de plus de 2 points. Cette situation pourrait s’expliquer par la bonne conduite des activités de mobilisation sociale en milieu rural. En effet, la proportion des ménages informés à travers les mobilisateurs est plus élevée en milieu rural qu’en milieu urbain où la radio/télé a été la principale information. Le caractère actif de la mobilisation sociale de proximité semble avoir plus d’effet que la communication d</w:t>
      </w:r>
      <w:r>
        <w:rPr>
          <w:rFonts w:asciiTheme="majorBidi" w:eastAsia="Calibri" w:hAnsiTheme="majorBidi" w:cstheme="majorBidi"/>
          <w:szCs w:val="24"/>
        </w:rPr>
        <w:t xml:space="preserve">e masse, à travers les médias. </w:t>
      </w:r>
    </w:p>
    <w:p w:rsidR="00BF5273" w:rsidRPr="00114B8A" w:rsidRDefault="00BF5273" w:rsidP="00BF5273">
      <w:pPr>
        <w:rPr>
          <w:rFonts w:asciiTheme="majorBidi" w:hAnsiTheme="majorBidi" w:cstheme="majorBidi"/>
          <w:b/>
          <w:i/>
          <w:lang w:val="fr-CI"/>
        </w:rPr>
      </w:pPr>
      <w:r w:rsidRPr="00114B8A">
        <w:rPr>
          <w:rFonts w:asciiTheme="majorBidi" w:hAnsiTheme="majorBidi" w:cstheme="majorBidi"/>
          <w:b/>
          <w:i/>
          <w:lang w:val="fr-CI"/>
        </w:rPr>
        <w:t>La couverture vaccinale post-campagne augmente avec l’âge des enfants  mais tous les taux sont inférieurs à 95%</w:t>
      </w:r>
    </w:p>
    <w:p w:rsidR="00BF5273" w:rsidRPr="00050055" w:rsidRDefault="00BF5273" w:rsidP="00BF5273">
      <w:pPr>
        <w:rPr>
          <w:color w:val="00B050"/>
          <w:lang w:eastAsia="fr-FR"/>
        </w:rPr>
      </w:pPr>
      <w:r w:rsidRPr="00050055">
        <w:rPr>
          <w:color w:val="00B050"/>
          <w:lang w:eastAsia="fr-FR"/>
        </w:rPr>
        <w:t>En dépit des progrès enregistrés, il y a un écart de 10% entre le taux de couverture vaccinale administrative qui est de 102,65% et le taux de couverture de l’évaluation post campagne  de  92,7%</w:t>
      </w:r>
    </w:p>
    <w:p w:rsidR="00BF5273" w:rsidRPr="00050055" w:rsidRDefault="00BF5273" w:rsidP="00BF5273">
      <w:pPr>
        <w:rPr>
          <w:color w:val="00B050"/>
          <w:lang w:eastAsia="fr-FR"/>
        </w:rPr>
      </w:pPr>
      <w:r w:rsidRPr="00050055">
        <w:rPr>
          <w:color w:val="00B050"/>
          <w:lang w:eastAsia="fr-FR"/>
        </w:rPr>
        <w:t>Les résultats sur la couverture vaccinale des enfants de 12-23 mois selon le rapport de l’évaluation post campagne en 2016 indiques que la couverture du VAR (76,5%)  est plus élevée que celle du VAA (69,3%), soit un écart absolu de 7,2 points étant donné que ces 2 antigènes sont administrés tous au 5eme contact ;</w:t>
      </w:r>
    </w:p>
    <w:p w:rsidR="00BF5273" w:rsidRPr="00050055" w:rsidRDefault="00BF5273" w:rsidP="00BF5273">
      <w:pPr>
        <w:rPr>
          <w:color w:val="00B050"/>
          <w:lang w:eastAsia="fr-FR"/>
        </w:rPr>
      </w:pPr>
      <w:r w:rsidRPr="00050055">
        <w:rPr>
          <w:color w:val="00B050"/>
          <w:lang w:eastAsia="fr-FR"/>
        </w:rPr>
        <w:lastRenderedPageBreak/>
        <w:t>La couverture vaccinale  par antigène avec Carte des enfants de 12-23 mois est de 61% BCG, 55 (VPO3), 61%(PENTA3) ; 55% (VAR) et 49% (VAA) ;</w:t>
      </w:r>
    </w:p>
    <w:p w:rsidR="00BF5273" w:rsidRPr="00050055" w:rsidRDefault="00BF5273" w:rsidP="00BF5273">
      <w:pPr>
        <w:rPr>
          <w:color w:val="00B050"/>
          <w:lang w:eastAsia="fr-FR"/>
        </w:rPr>
      </w:pPr>
      <w:r w:rsidRPr="00050055">
        <w:rPr>
          <w:color w:val="00B050"/>
          <w:lang w:eastAsia="fr-FR"/>
        </w:rPr>
        <w:t>Le taux de couverture vaccinale en 2016 a progressé par rapport à celle de 2012 malgré la crise Ebola</w:t>
      </w:r>
    </w:p>
    <w:p w:rsidR="00BF5273" w:rsidRPr="00114B8A" w:rsidRDefault="00BF5273" w:rsidP="00BF5273">
      <w:pPr>
        <w:spacing w:after="120"/>
        <w:jc w:val="both"/>
        <w:rPr>
          <w:rFonts w:ascii="Times New Roman" w:hAnsi="Times New Roman"/>
          <w:color w:val="00B050"/>
          <w:sz w:val="20"/>
        </w:rPr>
      </w:pPr>
      <w:r w:rsidRPr="00114B8A">
        <w:rPr>
          <w:rFonts w:ascii="Times New Roman" w:hAnsi="Times New Roman"/>
          <w:color w:val="00B050"/>
          <w:sz w:val="20"/>
        </w:rPr>
        <w:t>Le pourcentage des enfants complètement vaccinés en considérant la carte et l’histoire (62%, IC : 61%-63%), Le pourcentage des enfants complètement vaccinés documenté par une carte (41%, IC : 40-42%) </w:t>
      </w:r>
    </w:p>
    <w:bookmarkEnd w:id="28"/>
    <w:bookmarkEnd w:id="29"/>
    <w:bookmarkEnd w:id="30"/>
    <w:bookmarkEnd w:id="31"/>
    <w:bookmarkEnd w:id="32"/>
    <w:p w:rsidR="00431B9D" w:rsidRPr="00621BF1" w:rsidRDefault="00431B9D" w:rsidP="00A03C46">
      <w:pPr>
        <w:pStyle w:val="Titre4"/>
      </w:pPr>
      <w:r w:rsidRPr="00621BF1">
        <w:t xml:space="preserve">Campagnes Vaccination contre le Tétanos  </w:t>
      </w:r>
    </w:p>
    <w:p w:rsidR="00431B9D" w:rsidRPr="00621BF1" w:rsidRDefault="00BF5273" w:rsidP="00431B9D">
      <w:pPr>
        <w:spacing w:after="120"/>
        <w:jc w:val="both"/>
        <w:rPr>
          <w:rFonts w:cs="Arial"/>
          <w:bCs/>
          <w:color w:val="FF0000"/>
        </w:rPr>
      </w:pPr>
      <w:r w:rsidRPr="00621BF1">
        <w:rPr>
          <w:rFonts w:cs="Arial"/>
        </w:rPr>
        <w:t xml:space="preserve">La dernière campagne de vaccination de masse des  femmes en âge de procréer contre le tétanos </w:t>
      </w:r>
      <w:r w:rsidRPr="00621BF1">
        <w:t xml:space="preserve">remonte en 2012 avec une couverture de 93%. En 2014, la Guinée a bénéficié d’une mission d’appui technique  à l’accélération de la mise en œuvre du plan d’action de la validation du processus d’élimination du tétanos maternel et néonatal. A cause de l’épidémie de la maladie à virus Ebola en 2014 et 2015, ce plan d’action n’a pas pu être mis en œuvre. </w:t>
      </w:r>
      <w:r w:rsidRPr="009B34D1">
        <w:rPr>
          <w:color w:val="00B050"/>
        </w:rPr>
        <w:t xml:space="preserve">Des campagnes de vaccination contre le tétanos en faveur des femmes en âge de procréer sont envisagées dans en octobre 2018 suite à une analyse du </w:t>
      </w:r>
      <w:r>
        <w:rPr>
          <w:color w:val="00B050"/>
        </w:rPr>
        <w:t>risque</w:t>
      </w:r>
    </w:p>
    <w:p w:rsidR="00431B9D" w:rsidRPr="00621BF1" w:rsidRDefault="00431B9D" w:rsidP="00A03C46">
      <w:pPr>
        <w:pStyle w:val="Titre4"/>
      </w:pPr>
      <w:r w:rsidRPr="00621BF1">
        <w:t>Campagnes Vaccination contre la Fièvre Jaune</w:t>
      </w:r>
    </w:p>
    <w:p w:rsidR="00431B9D" w:rsidRPr="00621BF1" w:rsidRDefault="00431B9D" w:rsidP="00431B9D">
      <w:pPr>
        <w:spacing w:after="120"/>
        <w:jc w:val="both"/>
        <w:rPr>
          <w:rFonts w:cs="Arial"/>
          <w:bCs/>
        </w:rPr>
      </w:pPr>
      <w:r w:rsidRPr="00621BF1">
        <w:rPr>
          <w:rFonts w:cs="Arial"/>
          <w:bCs/>
        </w:rPr>
        <w:t>Depuis 2010, la Guinée n’a pas organisé de campagnes réactives contre la fièvre jaune, tenant compte des nouvelles directives de surveillance de la fièvre jaune et du contexte épidémiologique sous régional marqué par l’apparition de la dengue et de  l’épidémie de la maladie  à virus Ebola.</w:t>
      </w:r>
    </w:p>
    <w:p w:rsidR="00431B9D" w:rsidRPr="00621BF1" w:rsidRDefault="00431B9D" w:rsidP="00A03C46">
      <w:pPr>
        <w:pStyle w:val="Titre4"/>
      </w:pPr>
      <w:r w:rsidRPr="00621BF1">
        <w:t>Campagne de Vaccination contre la Méningite</w:t>
      </w:r>
    </w:p>
    <w:p w:rsidR="00431B9D" w:rsidRPr="00621BF1" w:rsidRDefault="00431B9D" w:rsidP="00431B9D">
      <w:pPr>
        <w:spacing w:after="120"/>
        <w:jc w:val="both"/>
        <w:rPr>
          <w:rFonts w:cs="Arial"/>
          <w:bCs/>
        </w:rPr>
      </w:pPr>
      <w:r w:rsidRPr="00621BF1">
        <w:rPr>
          <w:rFonts w:cs="Arial"/>
          <w:bCs/>
        </w:rPr>
        <w:t xml:space="preserve">En 2015, en prélude à l’introduction du vaccin </w:t>
      </w:r>
      <w:proofErr w:type="spellStart"/>
      <w:r w:rsidRPr="00621BF1">
        <w:rPr>
          <w:rFonts w:cs="Arial"/>
          <w:bCs/>
        </w:rPr>
        <w:t>MenAfrivac</w:t>
      </w:r>
      <w:proofErr w:type="spellEnd"/>
      <w:r w:rsidRPr="00621BF1">
        <w:rPr>
          <w:rFonts w:cs="Arial"/>
          <w:bCs/>
        </w:rPr>
        <w:t xml:space="preserve"> dans le PEV de routine, la Guinée a organisé une campagne de vaccination préventive contre la méningite dans 17 districts sanitaires à risque avec une couverture vaccinale moyenne de 95%.</w:t>
      </w:r>
    </w:p>
    <w:p w:rsidR="00C33A9E" w:rsidRPr="00621BF1" w:rsidRDefault="00431B9D" w:rsidP="00485B39">
      <w:pPr>
        <w:pStyle w:val="Titre2"/>
      </w:pPr>
      <w:bookmarkStart w:id="33" w:name="_Toc433367223"/>
      <w:bookmarkStart w:id="34" w:name="_Toc451380176"/>
      <w:bookmarkStart w:id="35" w:name="_Toc452745771"/>
      <w:bookmarkStart w:id="36" w:name="_Toc452746503"/>
      <w:bookmarkStart w:id="37" w:name="_Toc452747522"/>
      <w:bookmarkStart w:id="38" w:name="_Toc458593636"/>
      <w:r w:rsidRPr="00621BF1">
        <w:t xml:space="preserve">SURVEILLANCE </w:t>
      </w:r>
      <w:bookmarkStart w:id="39" w:name="_Toc366164092"/>
      <w:bookmarkEnd w:id="33"/>
      <w:bookmarkEnd w:id="34"/>
      <w:r w:rsidRPr="00621BF1">
        <w:t>DES MALADIES EVITABLES PAR LA VACCINATION</w:t>
      </w:r>
      <w:bookmarkStart w:id="40" w:name="_Toc451433440"/>
      <w:bookmarkEnd w:id="35"/>
      <w:bookmarkEnd w:id="36"/>
      <w:bookmarkEnd w:id="37"/>
      <w:bookmarkEnd w:id="38"/>
      <w:bookmarkEnd w:id="39"/>
    </w:p>
    <w:p w:rsidR="00C33A9E" w:rsidRPr="00621BF1" w:rsidRDefault="00C33A9E" w:rsidP="00C33A9E">
      <w:pPr>
        <w:spacing w:after="120"/>
        <w:jc w:val="both"/>
        <w:rPr>
          <w:rFonts w:cs="Arial"/>
        </w:rPr>
      </w:pPr>
      <w:r w:rsidRPr="00621BF1">
        <w:rPr>
          <w:rFonts w:cs="Arial"/>
          <w:bCs/>
        </w:rPr>
        <w:t xml:space="preserve">Depuis l’avènement du PEV en 1988, </w:t>
      </w:r>
      <w:r w:rsidRPr="00621BF1">
        <w:rPr>
          <w:rFonts w:cs="Arial"/>
        </w:rPr>
        <w:t>la surveillance des maladies évitables par la vaccination (PFA,  Rougeole,  Tétanos Maternel et Néonatal,  Coqueluche, Diphtérie, Tuberculose, Fièvre jaune et Hépatite B) est intégrée à celle des autres maladies à potentiel épidémique.</w:t>
      </w:r>
    </w:p>
    <w:p w:rsidR="00C33A9E" w:rsidRPr="00485B39" w:rsidRDefault="00C33A9E" w:rsidP="00C33A9E">
      <w:pPr>
        <w:pStyle w:val="En-tte"/>
        <w:tabs>
          <w:tab w:val="left" w:pos="708"/>
        </w:tabs>
        <w:spacing w:after="120"/>
        <w:jc w:val="both"/>
        <w:rPr>
          <w:rFonts w:cs="Arial"/>
          <w:bCs/>
          <w:iCs/>
        </w:rPr>
      </w:pPr>
      <w:r w:rsidRPr="00485B39">
        <w:rPr>
          <w:rFonts w:cs="Arial"/>
          <w:bCs/>
          <w:iCs/>
        </w:rPr>
        <w:t>La  surveillance est effectuée dans les structures sanitaires publiques et privées à tous les niveaux (périphérique, opérationnel, intermédiaire et central), ainsi que dans la communauté. Elle est  mise en œuvre  par les points focaux  de surveillance et les représentants de la communauté. Il est à noter que  la détection et la notification   restent encore faibles dans les structures privées.</w:t>
      </w:r>
      <w:r w:rsidRPr="00485B39">
        <w:rPr>
          <w:rFonts w:cs="Arial"/>
          <w:b/>
          <w:bCs/>
          <w:iCs/>
        </w:rPr>
        <w:t> </w:t>
      </w:r>
    </w:p>
    <w:p w:rsidR="00C33A9E" w:rsidRPr="00485B39" w:rsidRDefault="00C33A9E" w:rsidP="00C33A9E">
      <w:pPr>
        <w:pStyle w:val="En-tte"/>
        <w:tabs>
          <w:tab w:val="left" w:pos="708"/>
        </w:tabs>
        <w:spacing w:after="120"/>
        <w:jc w:val="both"/>
        <w:rPr>
          <w:rFonts w:cs="Arial"/>
          <w:bCs/>
        </w:rPr>
      </w:pPr>
      <w:r w:rsidRPr="00485B39">
        <w:rPr>
          <w:rFonts w:cs="Arial"/>
          <w:bCs/>
          <w:iCs/>
        </w:rPr>
        <w:t>La surveillance épidémiologique  à base communautaire est une forme d’implication de la communauté dans la détection et la référence des cas de maladies cible du PEV. A travers cette approche, les relais communautaires recensent et orientent vers les structures sanitaires   les cas suspects de MVE, ce qui contribue à l’amélioration des performances.</w:t>
      </w:r>
    </w:p>
    <w:p w:rsidR="00C33A9E" w:rsidRPr="00485B39" w:rsidRDefault="00C33A9E" w:rsidP="00C33A9E">
      <w:pPr>
        <w:pStyle w:val="En-tte"/>
        <w:tabs>
          <w:tab w:val="left" w:pos="708"/>
        </w:tabs>
        <w:spacing w:after="120"/>
        <w:jc w:val="both"/>
        <w:rPr>
          <w:rFonts w:cs="Arial"/>
          <w:bCs/>
          <w:iCs/>
        </w:rPr>
      </w:pPr>
      <w:r w:rsidRPr="00485B39">
        <w:rPr>
          <w:rFonts w:cs="Arial"/>
          <w:bCs/>
          <w:iCs/>
        </w:rPr>
        <w:t xml:space="preserve">Le rythme de notification est immédiat, hebdomadaire et mensuelle selon le cas. Les  données collectées sont  analysées aux différents niveaux et suivies de ripostes. </w:t>
      </w:r>
    </w:p>
    <w:p w:rsidR="00C33A9E" w:rsidRPr="00485B39" w:rsidRDefault="00C33A9E" w:rsidP="00C33A9E">
      <w:pPr>
        <w:pStyle w:val="En-tte"/>
        <w:tabs>
          <w:tab w:val="left" w:pos="708"/>
        </w:tabs>
        <w:spacing w:after="120"/>
        <w:jc w:val="both"/>
        <w:rPr>
          <w:rFonts w:cs="Arial"/>
          <w:bCs/>
          <w:iCs/>
        </w:rPr>
      </w:pPr>
      <w:r w:rsidRPr="00485B39">
        <w:rPr>
          <w:rFonts w:cs="Arial"/>
          <w:bCs/>
          <w:iCs/>
        </w:rPr>
        <w:t xml:space="preserve">Les  données de surveillance épidémiologique des formations sanitaires  sont transmissent au niveau supérieur  DPS ,DRS,  et le niveau central  ( coordination du PEV/SSP/ME , ANSS , la Division de la Prévention et lutte contre la maladie  et le SNIS ) pour la prise de décision </w:t>
      </w:r>
    </w:p>
    <w:p w:rsidR="00C33A9E" w:rsidRPr="00485B39" w:rsidRDefault="00C33A9E" w:rsidP="00C33A9E">
      <w:pPr>
        <w:pStyle w:val="En-tte"/>
        <w:tabs>
          <w:tab w:val="left" w:pos="708"/>
        </w:tabs>
        <w:spacing w:after="120"/>
        <w:jc w:val="both"/>
        <w:rPr>
          <w:rFonts w:cs="Arial"/>
          <w:bCs/>
          <w:iCs/>
        </w:rPr>
      </w:pPr>
      <w:r w:rsidRPr="00485B39" w:rsidDel="00DB02E1">
        <w:rPr>
          <w:rFonts w:cs="Arial"/>
          <w:bCs/>
          <w:iCs/>
        </w:rPr>
        <w:t xml:space="preserve"> </w:t>
      </w:r>
      <w:r w:rsidRPr="00485B39">
        <w:rPr>
          <w:rFonts w:cs="Arial"/>
          <w:bCs/>
          <w:iCs/>
        </w:rPr>
        <w:t xml:space="preserve">La confirmation des cas est assurée par les laboratoires  (laboratoire des fièvres hémorragiques de </w:t>
      </w:r>
      <w:proofErr w:type="spellStart"/>
      <w:r w:rsidRPr="00485B39">
        <w:rPr>
          <w:rFonts w:cs="Arial"/>
          <w:bCs/>
          <w:iCs/>
        </w:rPr>
        <w:t>Donka</w:t>
      </w:r>
      <w:proofErr w:type="spellEnd"/>
      <w:r w:rsidRPr="00485B39">
        <w:rPr>
          <w:rFonts w:cs="Arial"/>
          <w:bCs/>
          <w:iCs/>
        </w:rPr>
        <w:t xml:space="preserve"> pour   la rougeole,  la fièvre jaune et de la maladie à virus Ebola et l’INSP pour le choléra, les méningites).</w:t>
      </w:r>
    </w:p>
    <w:p w:rsidR="00C33A9E" w:rsidRPr="00485B39" w:rsidRDefault="00C33A9E" w:rsidP="00C33A9E">
      <w:pPr>
        <w:pStyle w:val="En-tte"/>
        <w:tabs>
          <w:tab w:val="left" w:pos="708"/>
        </w:tabs>
        <w:spacing w:after="120"/>
        <w:jc w:val="both"/>
        <w:rPr>
          <w:rFonts w:cs="Arial"/>
          <w:bCs/>
          <w:iCs/>
        </w:rPr>
      </w:pPr>
      <w:r w:rsidRPr="00485B39">
        <w:rPr>
          <w:rFonts w:cs="Arial"/>
          <w:bCs/>
          <w:iCs/>
        </w:rPr>
        <w:lastRenderedPageBreak/>
        <w:t>Les laboratoires L’institut  Pasteur de Dakar pour les PFA</w:t>
      </w:r>
    </w:p>
    <w:p w:rsidR="00C33A9E" w:rsidRPr="00621BF1" w:rsidRDefault="00C33A9E" w:rsidP="00C33A9E">
      <w:pPr>
        <w:pStyle w:val="En-tte"/>
        <w:tabs>
          <w:tab w:val="left" w:pos="708"/>
        </w:tabs>
        <w:spacing w:after="120"/>
        <w:jc w:val="both"/>
        <w:rPr>
          <w:rFonts w:cs="Arial"/>
          <w:bCs/>
          <w:iCs/>
        </w:rPr>
      </w:pPr>
      <w:r w:rsidRPr="00621BF1">
        <w:rPr>
          <w:rFonts w:cs="Arial"/>
          <w:bCs/>
          <w:iCs/>
        </w:rPr>
        <w:t xml:space="preserve">La présente analyse de situation de la surveillance porte sur la période de 2011 à 2015 et  concerne les composantes ci-après:  </w:t>
      </w:r>
    </w:p>
    <w:p w:rsidR="00C33A9E" w:rsidRPr="00621BF1" w:rsidRDefault="00C33A9E" w:rsidP="00C33A9E">
      <w:pPr>
        <w:pStyle w:val="En-tte"/>
        <w:numPr>
          <w:ilvl w:val="0"/>
          <w:numId w:val="13"/>
        </w:numPr>
        <w:tabs>
          <w:tab w:val="clear" w:pos="4680"/>
          <w:tab w:val="clear" w:pos="9360"/>
          <w:tab w:val="left" w:pos="708"/>
          <w:tab w:val="center" w:pos="4153"/>
          <w:tab w:val="right" w:pos="8306"/>
        </w:tabs>
        <w:spacing w:before="0" w:after="120"/>
        <w:jc w:val="both"/>
        <w:rPr>
          <w:rFonts w:cs="Arial"/>
          <w:bCs/>
          <w:iCs/>
        </w:rPr>
      </w:pPr>
      <w:r w:rsidRPr="00621BF1">
        <w:rPr>
          <w:rFonts w:cs="Arial"/>
          <w:bCs/>
          <w:iCs/>
        </w:rPr>
        <w:t>Surveillance des  Paralysies Flasques Aiguës</w:t>
      </w:r>
    </w:p>
    <w:p w:rsidR="00C33A9E" w:rsidRPr="00621BF1" w:rsidRDefault="00C33A9E" w:rsidP="00C33A9E">
      <w:pPr>
        <w:pStyle w:val="En-tte"/>
        <w:numPr>
          <w:ilvl w:val="0"/>
          <w:numId w:val="13"/>
        </w:numPr>
        <w:tabs>
          <w:tab w:val="clear" w:pos="4680"/>
          <w:tab w:val="clear" w:pos="9360"/>
          <w:tab w:val="left" w:pos="708"/>
          <w:tab w:val="center" w:pos="4153"/>
          <w:tab w:val="right" w:pos="8306"/>
        </w:tabs>
        <w:spacing w:before="0" w:after="120"/>
        <w:jc w:val="both"/>
        <w:rPr>
          <w:rFonts w:cs="Arial"/>
          <w:bCs/>
          <w:iCs/>
        </w:rPr>
      </w:pPr>
      <w:r w:rsidRPr="00621BF1">
        <w:rPr>
          <w:rFonts w:cs="Arial"/>
          <w:bCs/>
          <w:iCs/>
        </w:rPr>
        <w:t>Surveillance de la rougeole</w:t>
      </w:r>
    </w:p>
    <w:p w:rsidR="00C33A9E" w:rsidRPr="00621BF1" w:rsidRDefault="00C33A9E" w:rsidP="00C33A9E">
      <w:pPr>
        <w:pStyle w:val="En-tte"/>
        <w:numPr>
          <w:ilvl w:val="0"/>
          <w:numId w:val="13"/>
        </w:numPr>
        <w:tabs>
          <w:tab w:val="clear" w:pos="4680"/>
          <w:tab w:val="clear" w:pos="9360"/>
          <w:tab w:val="left" w:pos="708"/>
          <w:tab w:val="center" w:pos="4153"/>
          <w:tab w:val="right" w:pos="8306"/>
        </w:tabs>
        <w:spacing w:before="0" w:after="120"/>
        <w:jc w:val="both"/>
        <w:rPr>
          <w:rFonts w:cs="Arial"/>
          <w:bCs/>
          <w:iCs/>
        </w:rPr>
      </w:pPr>
      <w:r w:rsidRPr="00621BF1">
        <w:rPr>
          <w:rFonts w:cs="Arial"/>
          <w:bCs/>
          <w:iCs/>
        </w:rPr>
        <w:t>Surveillance de la fièvre jaune</w:t>
      </w:r>
    </w:p>
    <w:p w:rsidR="00C33A9E" w:rsidRPr="00621BF1" w:rsidRDefault="00C33A9E" w:rsidP="00C33A9E">
      <w:pPr>
        <w:pStyle w:val="En-tte"/>
        <w:numPr>
          <w:ilvl w:val="0"/>
          <w:numId w:val="13"/>
        </w:numPr>
        <w:tabs>
          <w:tab w:val="clear" w:pos="4680"/>
          <w:tab w:val="clear" w:pos="9360"/>
          <w:tab w:val="left" w:pos="708"/>
          <w:tab w:val="center" w:pos="4153"/>
          <w:tab w:val="right" w:pos="8306"/>
        </w:tabs>
        <w:spacing w:before="0" w:after="120"/>
        <w:jc w:val="both"/>
        <w:rPr>
          <w:rFonts w:cs="Arial"/>
          <w:bCs/>
          <w:iCs/>
        </w:rPr>
      </w:pPr>
      <w:r w:rsidRPr="00621BF1">
        <w:rPr>
          <w:rFonts w:cs="Arial"/>
          <w:bCs/>
          <w:iCs/>
        </w:rPr>
        <w:t>Surveillance du tétanos néonatal</w:t>
      </w:r>
    </w:p>
    <w:p w:rsidR="00C33A9E" w:rsidRPr="00621BF1" w:rsidRDefault="00C33A9E" w:rsidP="00C33A9E">
      <w:pPr>
        <w:pStyle w:val="En-tte"/>
        <w:numPr>
          <w:ilvl w:val="0"/>
          <w:numId w:val="13"/>
        </w:numPr>
        <w:tabs>
          <w:tab w:val="clear" w:pos="4680"/>
          <w:tab w:val="clear" w:pos="9360"/>
          <w:tab w:val="left" w:pos="708"/>
          <w:tab w:val="center" w:pos="4153"/>
          <w:tab w:val="right" w:pos="8306"/>
        </w:tabs>
        <w:spacing w:before="0" w:after="120"/>
        <w:jc w:val="both"/>
        <w:rPr>
          <w:rFonts w:cs="Arial"/>
          <w:bCs/>
          <w:iCs/>
        </w:rPr>
      </w:pPr>
      <w:r w:rsidRPr="00621BF1">
        <w:rPr>
          <w:rFonts w:cs="Arial"/>
          <w:bCs/>
          <w:iCs/>
        </w:rPr>
        <w:t>Surveillance de l’</w:t>
      </w:r>
      <w:proofErr w:type="spellStart"/>
      <w:r w:rsidRPr="00621BF1">
        <w:rPr>
          <w:rFonts w:cs="Arial"/>
          <w:bCs/>
          <w:iCs/>
        </w:rPr>
        <w:t>Haemophilus</w:t>
      </w:r>
      <w:proofErr w:type="spellEnd"/>
      <w:r w:rsidRPr="00621BF1">
        <w:rPr>
          <w:rFonts w:cs="Arial"/>
          <w:bCs/>
          <w:iCs/>
        </w:rPr>
        <w:t xml:space="preserve"> </w:t>
      </w:r>
      <w:proofErr w:type="spellStart"/>
      <w:r w:rsidRPr="00621BF1">
        <w:rPr>
          <w:rFonts w:cs="Arial"/>
          <w:bCs/>
          <w:iCs/>
        </w:rPr>
        <w:t>Influenzae</w:t>
      </w:r>
      <w:proofErr w:type="spellEnd"/>
    </w:p>
    <w:p w:rsidR="00C33A9E" w:rsidRPr="00621BF1" w:rsidRDefault="00C33A9E" w:rsidP="00C33A9E">
      <w:pPr>
        <w:pStyle w:val="En-tte"/>
        <w:numPr>
          <w:ilvl w:val="0"/>
          <w:numId w:val="13"/>
        </w:numPr>
        <w:tabs>
          <w:tab w:val="clear" w:pos="4680"/>
          <w:tab w:val="clear" w:pos="9360"/>
          <w:tab w:val="left" w:pos="708"/>
          <w:tab w:val="center" w:pos="4153"/>
          <w:tab w:val="right" w:pos="8306"/>
        </w:tabs>
        <w:spacing w:before="0" w:after="120"/>
        <w:jc w:val="both"/>
        <w:rPr>
          <w:rFonts w:cs="Arial"/>
          <w:bCs/>
          <w:iCs/>
        </w:rPr>
      </w:pPr>
      <w:r w:rsidRPr="00621BF1">
        <w:rPr>
          <w:rFonts w:cs="Arial"/>
          <w:bCs/>
          <w:iCs/>
        </w:rPr>
        <w:t>Surveillance de la coqueluche</w:t>
      </w:r>
    </w:p>
    <w:p w:rsidR="00C33A9E" w:rsidRPr="00621BF1" w:rsidRDefault="00C33A9E" w:rsidP="00C33A9E">
      <w:pPr>
        <w:pStyle w:val="En-tte"/>
        <w:numPr>
          <w:ilvl w:val="0"/>
          <w:numId w:val="13"/>
        </w:numPr>
        <w:tabs>
          <w:tab w:val="clear" w:pos="4680"/>
          <w:tab w:val="clear" w:pos="9360"/>
          <w:tab w:val="left" w:pos="708"/>
          <w:tab w:val="center" w:pos="4153"/>
          <w:tab w:val="right" w:pos="8306"/>
        </w:tabs>
        <w:spacing w:before="0" w:after="120"/>
        <w:jc w:val="both"/>
        <w:rPr>
          <w:rFonts w:cs="Arial"/>
          <w:bCs/>
          <w:iCs/>
        </w:rPr>
      </w:pPr>
      <w:r w:rsidRPr="00621BF1">
        <w:rPr>
          <w:rFonts w:cs="Arial"/>
          <w:bCs/>
          <w:iCs/>
        </w:rPr>
        <w:t>Surveillance des Manifestations Adverses post immunisation (MAPI)</w:t>
      </w:r>
    </w:p>
    <w:p w:rsidR="00431B9D" w:rsidRPr="00621BF1" w:rsidRDefault="00431B9D" w:rsidP="009E23F7">
      <w:pPr>
        <w:pStyle w:val="Titre3"/>
      </w:pPr>
      <w:bookmarkStart w:id="41" w:name="_Toc452745772"/>
      <w:bookmarkStart w:id="42" w:name="_Toc452746504"/>
      <w:bookmarkStart w:id="43" w:name="_Toc452747523"/>
      <w:bookmarkStart w:id="44" w:name="_Toc458593637"/>
      <w:r w:rsidRPr="00621BF1">
        <w:t>Surveillance des PFA</w:t>
      </w:r>
      <w:bookmarkEnd w:id="41"/>
      <w:bookmarkEnd w:id="42"/>
      <w:bookmarkEnd w:id="43"/>
      <w:bookmarkEnd w:id="44"/>
      <w:r w:rsidRPr="00621BF1">
        <w:t> </w:t>
      </w:r>
    </w:p>
    <w:p w:rsidR="00431B9D" w:rsidRPr="00621BF1" w:rsidRDefault="00431B9D" w:rsidP="00431B9D">
      <w:pPr>
        <w:pStyle w:val="Corpsdetexte1"/>
        <w:spacing w:after="120" w:line="240" w:lineRule="auto"/>
        <w:rPr>
          <w:rFonts w:ascii="Gill Sans MT" w:hAnsi="Gill Sans MT" w:cs="Arial"/>
          <w:color w:val="auto"/>
          <w:sz w:val="22"/>
          <w:szCs w:val="22"/>
          <w:lang w:val="fr-FR"/>
        </w:rPr>
      </w:pPr>
      <w:r w:rsidRPr="00621BF1">
        <w:rPr>
          <w:rFonts w:ascii="Gill Sans MT" w:hAnsi="Gill Sans MT" w:cs="Arial"/>
          <w:sz w:val="22"/>
          <w:szCs w:val="22"/>
          <w:lang w:val="fr-FR"/>
        </w:rPr>
        <w:t>Le système de surveillance des PFA est effectif  depuis 1998 en Guinée grâce à l’engagement de l’Etat et à la forte mobilisation des partenaires internes et externes.</w:t>
      </w:r>
    </w:p>
    <w:p w:rsidR="00431B9D" w:rsidRPr="00621BF1" w:rsidRDefault="00431B9D" w:rsidP="00431B9D">
      <w:pPr>
        <w:spacing w:after="120"/>
        <w:jc w:val="both"/>
        <w:rPr>
          <w:rFonts w:cs="Arial"/>
        </w:rPr>
      </w:pPr>
      <w:r w:rsidRPr="00621BF1">
        <w:rPr>
          <w:rFonts w:cs="Arial"/>
        </w:rPr>
        <w:t>Le système de surveillance des PFA a été restructuré et renforcé en 2002 par la  désignation des points focaux de surveillance et la création de divers comités notamment, le Comité National  de certification (CNC), le Comité National d’Experts Polio (C</w:t>
      </w:r>
      <w:r w:rsidR="00264E5E">
        <w:rPr>
          <w:rFonts w:cs="Arial"/>
        </w:rPr>
        <w:t>NE</w:t>
      </w:r>
      <w:r w:rsidRPr="00621BF1">
        <w:rPr>
          <w:rFonts w:cs="Arial"/>
        </w:rPr>
        <w:t xml:space="preserve">P) et le Groupe Spécial de Confinement (GSC). Le pays pour la confirmation utilise laboratoire de référence de l’OMS (Institut Pasteur de Dakar /Sénégal). </w:t>
      </w:r>
    </w:p>
    <w:p w:rsidR="00431B9D" w:rsidRPr="00621BF1" w:rsidRDefault="00431B9D" w:rsidP="00431B9D">
      <w:pPr>
        <w:spacing w:after="120"/>
        <w:jc w:val="both"/>
        <w:rPr>
          <w:rFonts w:cs="Arial"/>
        </w:rPr>
      </w:pPr>
      <w:r w:rsidRPr="00621BF1">
        <w:rPr>
          <w:rFonts w:cs="Arial"/>
        </w:rPr>
        <w:t xml:space="preserve">En Août 2011, le pays a enregistré le dernier cas de PVS (3 cas de PVS de type 3). </w:t>
      </w:r>
    </w:p>
    <w:p w:rsidR="00431B9D" w:rsidRPr="00621BF1" w:rsidRDefault="00431B9D" w:rsidP="00431B9D">
      <w:pPr>
        <w:spacing w:after="120"/>
        <w:jc w:val="both"/>
        <w:rPr>
          <w:rFonts w:cs="Arial"/>
        </w:rPr>
      </w:pPr>
      <w:r w:rsidRPr="00621BF1">
        <w:rPr>
          <w:rFonts w:cs="Arial"/>
        </w:rPr>
        <w:t xml:space="preserve">De 2012 à 2013, aucun cas de PVS confirmé dans le pays, cependant le pays a connu la circulation du DVPV : 1 cas en 2014 à Siguiri et 7 cas en 2015 dont 6 à Siguiri et 1 à Kankan. </w:t>
      </w:r>
    </w:p>
    <w:p w:rsidR="00431B9D" w:rsidRPr="00621BF1" w:rsidRDefault="00431B9D" w:rsidP="00431B9D">
      <w:pPr>
        <w:spacing w:after="120"/>
        <w:jc w:val="both"/>
        <w:rPr>
          <w:rFonts w:cs="Arial"/>
        </w:rPr>
      </w:pPr>
      <w:r w:rsidRPr="00621BF1">
        <w:rPr>
          <w:rFonts w:cs="Arial"/>
          <w:noProof/>
          <w:lang w:eastAsia="fr-FR"/>
        </w:rPr>
        <w:drawing>
          <wp:inline distT="0" distB="0" distL="0" distR="0">
            <wp:extent cx="5559425" cy="3716295"/>
            <wp:effectExtent l="0" t="0" r="3175" b="0"/>
            <wp:docPr id="6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1426" t="1820" r="1256" b="6153"/>
                    <a:stretch/>
                  </pic:blipFill>
                  <pic:spPr>
                    <a:xfrm>
                      <a:off x="0" y="0"/>
                      <a:ext cx="5560347" cy="3716911"/>
                    </a:xfrm>
                    <a:prstGeom prst="rect">
                      <a:avLst/>
                    </a:prstGeom>
                  </pic:spPr>
                </pic:pic>
              </a:graphicData>
            </a:graphic>
          </wp:inline>
        </w:drawing>
      </w:r>
    </w:p>
    <w:p w:rsidR="009E23F7" w:rsidRPr="00621BF1" w:rsidRDefault="009E23F7" w:rsidP="009E23F7">
      <w:pPr>
        <w:pStyle w:val="Lgende"/>
        <w:spacing w:after="120"/>
      </w:pPr>
      <w:bookmarkStart w:id="45" w:name="_Toc456109474"/>
      <w:r w:rsidRPr="00621BF1">
        <w:lastRenderedPageBreak/>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8</w:t>
      </w:r>
      <w:r w:rsidR="00B51B2E" w:rsidRPr="00621BF1">
        <w:fldChar w:fldCharType="end"/>
      </w:r>
      <w:r w:rsidRPr="00621BF1">
        <w:t>: Cas de PFA positifs en 2015</w:t>
      </w:r>
      <w:bookmarkEnd w:id="45"/>
    </w:p>
    <w:p w:rsidR="00431B9D" w:rsidRPr="00621BF1" w:rsidRDefault="00431B9D" w:rsidP="009E23F7">
      <w:pPr>
        <w:spacing w:after="120" w:line="240" w:lineRule="auto"/>
        <w:jc w:val="both"/>
        <w:rPr>
          <w:rFonts w:cs="Arial"/>
        </w:rPr>
      </w:pPr>
      <w:r w:rsidRPr="00621BF1">
        <w:rPr>
          <w:rFonts w:cs="Arial"/>
        </w:rPr>
        <w:t>Dans le cadre de la mise en œuvre de l’initiative d’éradication de la poliomyélite, la performance des deux indicateurs majeurs annuellement suivis (Taux de PFA non polio pour 100 000 enfants de moins de 15 ans et le pourcentage des selles prélevés dans les 14 jours du début de la paralysie) du système de surveillance sont encourageants au niveau national. Le tableau ci-dessous présente des indicateurs des années de 2011- 2015</w:t>
      </w:r>
      <w:r w:rsidR="009E23F7" w:rsidRPr="00621BF1">
        <w:rPr>
          <w:rFonts w:cs="Arial"/>
        </w:rPr>
        <w:t>.</w:t>
      </w:r>
    </w:p>
    <w:p w:rsidR="00431B9D" w:rsidRPr="00621BF1" w:rsidRDefault="00431B9D" w:rsidP="00431B9D">
      <w:pPr>
        <w:pStyle w:val="Lgende"/>
        <w:rPr>
          <w:b/>
        </w:rPr>
      </w:pPr>
      <w:bookmarkStart w:id="46" w:name="_Toc456109475"/>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9</w:t>
      </w:r>
      <w:r w:rsidR="00B51B2E" w:rsidRPr="00621BF1">
        <w:fldChar w:fldCharType="end"/>
      </w:r>
      <w:r w:rsidRPr="00621BF1">
        <w:t>: Performance de la surveillance des PFA</w:t>
      </w:r>
      <w:bookmarkEnd w:id="46"/>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0"/>
        <w:gridCol w:w="1126"/>
        <w:gridCol w:w="1418"/>
        <w:gridCol w:w="1146"/>
        <w:gridCol w:w="1260"/>
        <w:gridCol w:w="1170"/>
      </w:tblGrid>
      <w:tr w:rsidR="00431B9D" w:rsidRPr="00621BF1" w:rsidTr="00ED0C53">
        <w:trPr>
          <w:trHeight w:val="349"/>
        </w:trPr>
        <w:tc>
          <w:tcPr>
            <w:tcW w:w="3060" w:type="dxa"/>
            <w:vMerge w:val="restart"/>
            <w:shd w:val="clear" w:color="auto" w:fill="C45911" w:themeFill="accent2" w:themeFillShade="BF"/>
          </w:tcPr>
          <w:p w:rsidR="00431B9D" w:rsidRPr="00621BF1" w:rsidRDefault="00431B9D" w:rsidP="00ED0C53">
            <w:pPr>
              <w:spacing w:after="120"/>
              <w:rPr>
                <w:rFonts w:cs="Arial"/>
                <w:b/>
                <w:bCs/>
                <w:color w:val="FFFFFF" w:themeColor="background1"/>
              </w:rPr>
            </w:pPr>
          </w:p>
          <w:p w:rsidR="00431B9D" w:rsidRPr="00621BF1" w:rsidRDefault="00431B9D" w:rsidP="00ED0C53">
            <w:pPr>
              <w:spacing w:after="120"/>
              <w:rPr>
                <w:rFonts w:cs="Arial"/>
                <w:color w:val="FFFFFF" w:themeColor="background1"/>
              </w:rPr>
            </w:pPr>
            <w:r w:rsidRPr="00621BF1">
              <w:rPr>
                <w:rFonts w:cs="Arial"/>
                <w:b/>
                <w:bCs/>
                <w:color w:val="FFFFFF" w:themeColor="background1"/>
              </w:rPr>
              <w:t xml:space="preserve">               Indicateurs</w:t>
            </w:r>
          </w:p>
        </w:tc>
        <w:tc>
          <w:tcPr>
            <w:tcW w:w="6120" w:type="dxa"/>
            <w:gridSpan w:val="5"/>
            <w:shd w:val="clear" w:color="auto" w:fill="C45911" w:themeFill="accent2" w:themeFillShade="BF"/>
            <w:noWrap/>
            <w:vAlign w:val="bottom"/>
          </w:tcPr>
          <w:p w:rsidR="00431B9D" w:rsidRPr="00621BF1" w:rsidRDefault="00431B9D" w:rsidP="00ED0C53">
            <w:pPr>
              <w:spacing w:after="120"/>
              <w:jc w:val="center"/>
              <w:rPr>
                <w:rFonts w:cs="Arial"/>
                <w:b/>
                <w:color w:val="FFFFFF" w:themeColor="background1"/>
              </w:rPr>
            </w:pPr>
            <w:r w:rsidRPr="00621BF1">
              <w:rPr>
                <w:rFonts w:cs="Arial"/>
                <w:b/>
                <w:color w:val="FFFFFF" w:themeColor="background1"/>
              </w:rPr>
              <w:t>Années</w:t>
            </w:r>
          </w:p>
        </w:tc>
      </w:tr>
      <w:tr w:rsidR="00431B9D" w:rsidRPr="00621BF1" w:rsidTr="00ED0C53">
        <w:trPr>
          <w:trHeight w:val="299"/>
        </w:trPr>
        <w:tc>
          <w:tcPr>
            <w:tcW w:w="3060" w:type="dxa"/>
            <w:vMerge/>
            <w:shd w:val="clear" w:color="auto" w:fill="C45911" w:themeFill="accent2" w:themeFillShade="BF"/>
            <w:vAlign w:val="center"/>
          </w:tcPr>
          <w:p w:rsidR="00431B9D" w:rsidRPr="00621BF1" w:rsidRDefault="00431B9D" w:rsidP="00ED0C53">
            <w:pPr>
              <w:spacing w:after="120"/>
              <w:rPr>
                <w:rFonts w:cs="Arial"/>
                <w:color w:val="FFFFFF" w:themeColor="background1"/>
              </w:rPr>
            </w:pPr>
          </w:p>
        </w:tc>
        <w:tc>
          <w:tcPr>
            <w:tcW w:w="1126" w:type="dxa"/>
            <w:shd w:val="clear" w:color="auto" w:fill="C45911" w:themeFill="accent2" w:themeFillShade="BF"/>
            <w:noWrap/>
            <w:vAlign w:val="bottom"/>
            <w:hideMark/>
          </w:tcPr>
          <w:p w:rsidR="00431B9D" w:rsidRPr="00621BF1" w:rsidRDefault="00431B9D" w:rsidP="00ED0C53">
            <w:pPr>
              <w:spacing w:after="120"/>
              <w:jc w:val="right"/>
              <w:rPr>
                <w:rFonts w:cs="Arial"/>
                <w:color w:val="FFFFFF" w:themeColor="background1"/>
              </w:rPr>
            </w:pPr>
            <w:r w:rsidRPr="00621BF1">
              <w:rPr>
                <w:rFonts w:cs="Arial"/>
                <w:color w:val="FFFFFF" w:themeColor="background1"/>
              </w:rPr>
              <w:t>2011</w:t>
            </w:r>
          </w:p>
        </w:tc>
        <w:tc>
          <w:tcPr>
            <w:tcW w:w="1418" w:type="dxa"/>
            <w:shd w:val="clear" w:color="auto" w:fill="C45911" w:themeFill="accent2" w:themeFillShade="BF"/>
            <w:noWrap/>
            <w:vAlign w:val="bottom"/>
            <w:hideMark/>
          </w:tcPr>
          <w:p w:rsidR="00431B9D" w:rsidRPr="00621BF1" w:rsidRDefault="00431B9D" w:rsidP="00ED0C53">
            <w:pPr>
              <w:spacing w:after="120"/>
              <w:jc w:val="right"/>
              <w:rPr>
                <w:rFonts w:cs="Arial"/>
                <w:color w:val="FFFFFF" w:themeColor="background1"/>
              </w:rPr>
            </w:pPr>
            <w:r w:rsidRPr="00621BF1">
              <w:rPr>
                <w:rFonts w:cs="Arial"/>
                <w:color w:val="FFFFFF" w:themeColor="background1"/>
              </w:rPr>
              <w:t>2012</w:t>
            </w:r>
          </w:p>
        </w:tc>
        <w:tc>
          <w:tcPr>
            <w:tcW w:w="1146" w:type="dxa"/>
            <w:shd w:val="clear" w:color="auto" w:fill="C45911" w:themeFill="accent2" w:themeFillShade="BF"/>
            <w:noWrap/>
            <w:vAlign w:val="bottom"/>
            <w:hideMark/>
          </w:tcPr>
          <w:p w:rsidR="00431B9D" w:rsidRPr="00621BF1" w:rsidRDefault="00431B9D" w:rsidP="00ED0C53">
            <w:pPr>
              <w:spacing w:after="120"/>
              <w:jc w:val="right"/>
              <w:rPr>
                <w:rFonts w:cs="Arial"/>
                <w:color w:val="FFFFFF" w:themeColor="background1"/>
              </w:rPr>
            </w:pPr>
            <w:r w:rsidRPr="00621BF1">
              <w:rPr>
                <w:rFonts w:cs="Arial"/>
                <w:color w:val="FFFFFF" w:themeColor="background1"/>
              </w:rPr>
              <w:t>2013</w:t>
            </w:r>
          </w:p>
        </w:tc>
        <w:tc>
          <w:tcPr>
            <w:tcW w:w="1260" w:type="dxa"/>
            <w:shd w:val="clear" w:color="auto" w:fill="C45911" w:themeFill="accent2" w:themeFillShade="BF"/>
            <w:noWrap/>
            <w:vAlign w:val="bottom"/>
            <w:hideMark/>
          </w:tcPr>
          <w:p w:rsidR="00431B9D" w:rsidRPr="00621BF1" w:rsidRDefault="00431B9D" w:rsidP="00ED0C53">
            <w:pPr>
              <w:spacing w:after="120"/>
              <w:jc w:val="right"/>
              <w:rPr>
                <w:rFonts w:cs="Arial"/>
                <w:color w:val="FFFFFF" w:themeColor="background1"/>
              </w:rPr>
            </w:pPr>
            <w:r w:rsidRPr="00621BF1">
              <w:rPr>
                <w:rFonts w:cs="Arial"/>
                <w:color w:val="FFFFFF" w:themeColor="background1"/>
              </w:rPr>
              <w:t>2014</w:t>
            </w:r>
          </w:p>
        </w:tc>
        <w:tc>
          <w:tcPr>
            <w:tcW w:w="1170" w:type="dxa"/>
            <w:shd w:val="clear" w:color="auto" w:fill="C45911" w:themeFill="accent2" w:themeFillShade="BF"/>
            <w:noWrap/>
            <w:vAlign w:val="bottom"/>
            <w:hideMark/>
          </w:tcPr>
          <w:p w:rsidR="00431B9D" w:rsidRPr="00621BF1" w:rsidRDefault="00431B9D" w:rsidP="00ED0C53">
            <w:pPr>
              <w:spacing w:after="120"/>
              <w:jc w:val="right"/>
              <w:rPr>
                <w:rFonts w:cs="Arial"/>
                <w:color w:val="FFFFFF" w:themeColor="background1"/>
              </w:rPr>
            </w:pPr>
            <w:r w:rsidRPr="00621BF1">
              <w:rPr>
                <w:rFonts w:cs="Arial"/>
                <w:color w:val="FFFFFF" w:themeColor="background1"/>
              </w:rPr>
              <w:t>2015</w:t>
            </w:r>
          </w:p>
        </w:tc>
      </w:tr>
      <w:tr w:rsidR="00431B9D" w:rsidRPr="00621BF1" w:rsidTr="00ED0C53">
        <w:trPr>
          <w:trHeight w:val="309"/>
        </w:trPr>
        <w:tc>
          <w:tcPr>
            <w:tcW w:w="3060" w:type="dxa"/>
            <w:vAlign w:val="center"/>
          </w:tcPr>
          <w:p w:rsidR="00431B9D" w:rsidRPr="00621BF1" w:rsidRDefault="00431B9D" w:rsidP="00ED0C53">
            <w:pPr>
              <w:spacing w:after="120"/>
              <w:rPr>
                <w:rFonts w:cs="Arial"/>
                <w:color w:val="000000"/>
              </w:rPr>
            </w:pPr>
            <w:r w:rsidRPr="00621BF1">
              <w:rPr>
                <w:rFonts w:cs="Arial"/>
                <w:bCs/>
                <w:color w:val="000000"/>
              </w:rPr>
              <w:t>Population âgée &lt; 15 ans</w:t>
            </w:r>
          </w:p>
        </w:tc>
        <w:tc>
          <w:tcPr>
            <w:tcW w:w="1126"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5 001 339</w:t>
            </w:r>
          </w:p>
        </w:tc>
        <w:tc>
          <w:tcPr>
            <w:tcW w:w="1418"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5 156 381</w:t>
            </w:r>
          </w:p>
        </w:tc>
        <w:tc>
          <w:tcPr>
            <w:tcW w:w="1146"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5 316 228</w:t>
            </w:r>
          </w:p>
        </w:tc>
        <w:tc>
          <w:tcPr>
            <w:tcW w:w="126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5 476075</w:t>
            </w:r>
          </w:p>
        </w:tc>
        <w:tc>
          <w:tcPr>
            <w:tcW w:w="117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5 635 922</w:t>
            </w:r>
          </w:p>
        </w:tc>
      </w:tr>
      <w:tr w:rsidR="00431B9D" w:rsidRPr="00621BF1" w:rsidTr="00ED0C53">
        <w:trPr>
          <w:trHeight w:val="300"/>
        </w:trPr>
        <w:tc>
          <w:tcPr>
            <w:tcW w:w="3060" w:type="dxa"/>
            <w:vAlign w:val="center"/>
          </w:tcPr>
          <w:p w:rsidR="00431B9D" w:rsidRPr="00621BF1" w:rsidRDefault="00431B9D" w:rsidP="00ED0C53">
            <w:pPr>
              <w:spacing w:after="120"/>
              <w:rPr>
                <w:rFonts w:cs="Arial"/>
                <w:color w:val="000000"/>
              </w:rPr>
            </w:pPr>
            <w:r w:rsidRPr="00621BF1">
              <w:rPr>
                <w:rFonts w:cs="Arial"/>
                <w:bCs/>
                <w:color w:val="000000"/>
              </w:rPr>
              <w:t>Nombre de cas PFA attendus</w:t>
            </w:r>
          </w:p>
        </w:tc>
        <w:tc>
          <w:tcPr>
            <w:tcW w:w="1126"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100</w:t>
            </w:r>
          </w:p>
        </w:tc>
        <w:tc>
          <w:tcPr>
            <w:tcW w:w="1418"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103</w:t>
            </w:r>
          </w:p>
        </w:tc>
        <w:tc>
          <w:tcPr>
            <w:tcW w:w="1146"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106</w:t>
            </w:r>
          </w:p>
        </w:tc>
        <w:tc>
          <w:tcPr>
            <w:tcW w:w="126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 110</w:t>
            </w:r>
          </w:p>
        </w:tc>
        <w:tc>
          <w:tcPr>
            <w:tcW w:w="117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98 </w:t>
            </w:r>
          </w:p>
        </w:tc>
      </w:tr>
      <w:tr w:rsidR="00431B9D" w:rsidRPr="00621BF1" w:rsidTr="00ED0C53">
        <w:trPr>
          <w:trHeight w:val="300"/>
        </w:trPr>
        <w:tc>
          <w:tcPr>
            <w:tcW w:w="3060" w:type="dxa"/>
            <w:vAlign w:val="center"/>
          </w:tcPr>
          <w:p w:rsidR="00431B9D" w:rsidRPr="00621BF1" w:rsidRDefault="00431B9D" w:rsidP="00ED0C53">
            <w:pPr>
              <w:spacing w:after="120"/>
              <w:rPr>
                <w:rFonts w:cs="Arial"/>
                <w:color w:val="000000"/>
              </w:rPr>
            </w:pPr>
            <w:r w:rsidRPr="00621BF1">
              <w:rPr>
                <w:rFonts w:cs="Arial"/>
                <w:bCs/>
                <w:color w:val="000000"/>
              </w:rPr>
              <w:t>Total de cas de PFA notifiés</w:t>
            </w:r>
          </w:p>
        </w:tc>
        <w:tc>
          <w:tcPr>
            <w:tcW w:w="1126"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206</w:t>
            </w:r>
          </w:p>
        </w:tc>
        <w:tc>
          <w:tcPr>
            <w:tcW w:w="1418"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187</w:t>
            </w:r>
          </w:p>
        </w:tc>
        <w:tc>
          <w:tcPr>
            <w:tcW w:w="1146"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223</w:t>
            </w:r>
          </w:p>
        </w:tc>
        <w:tc>
          <w:tcPr>
            <w:tcW w:w="126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 146</w:t>
            </w:r>
          </w:p>
        </w:tc>
        <w:tc>
          <w:tcPr>
            <w:tcW w:w="117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145 </w:t>
            </w:r>
          </w:p>
        </w:tc>
      </w:tr>
      <w:tr w:rsidR="00431B9D" w:rsidRPr="00621BF1" w:rsidTr="00ED0C53">
        <w:trPr>
          <w:trHeight w:val="300"/>
        </w:trPr>
        <w:tc>
          <w:tcPr>
            <w:tcW w:w="3060" w:type="dxa"/>
            <w:vAlign w:val="center"/>
          </w:tcPr>
          <w:p w:rsidR="00431B9D" w:rsidRPr="00621BF1" w:rsidRDefault="00431B9D" w:rsidP="00ED0C53">
            <w:pPr>
              <w:spacing w:after="120"/>
              <w:rPr>
                <w:rFonts w:cs="Arial"/>
                <w:color w:val="000000"/>
              </w:rPr>
            </w:pPr>
            <w:r w:rsidRPr="00621BF1">
              <w:rPr>
                <w:rFonts w:cs="Arial"/>
                <w:bCs/>
                <w:color w:val="000000"/>
              </w:rPr>
              <w:t>Nombre de cas de polio confirmés</w:t>
            </w:r>
          </w:p>
        </w:tc>
        <w:tc>
          <w:tcPr>
            <w:tcW w:w="1126"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3</w:t>
            </w:r>
          </w:p>
        </w:tc>
        <w:tc>
          <w:tcPr>
            <w:tcW w:w="1418"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0</w:t>
            </w:r>
          </w:p>
        </w:tc>
        <w:tc>
          <w:tcPr>
            <w:tcW w:w="1146" w:type="dxa"/>
            <w:shd w:val="clear" w:color="auto" w:fill="auto"/>
            <w:vAlign w:val="center"/>
            <w:hideMark/>
          </w:tcPr>
          <w:p w:rsidR="00431B9D" w:rsidRPr="00621BF1" w:rsidRDefault="00431B9D" w:rsidP="00ED0C53">
            <w:pPr>
              <w:spacing w:after="120"/>
              <w:jc w:val="center"/>
              <w:rPr>
                <w:rFonts w:cs="Arial"/>
                <w:color w:val="000000"/>
              </w:rPr>
            </w:pPr>
            <w:r w:rsidRPr="00621BF1">
              <w:rPr>
                <w:rFonts w:cs="Arial"/>
                <w:color w:val="000000"/>
              </w:rPr>
              <w:t>0</w:t>
            </w:r>
          </w:p>
        </w:tc>
        <w:tc>
          <w:tcPr>
            <w:tcW w:w="126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 1*</w:t>
            </w:r>
          </w:p>
        </w:tc>
        <w:tc>
          <w:tcPr>
            <w:tcW w:w="117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7* </w:t>
            </w:r>
          </w:p>
        </w:tc>
      </w:tr>
      <w:tr w:rsidR="00431B9D" w:rsidRPr="00621BF1" w:rsidTr="00ED0C53">
        <w:trPr>
          <w:trHeight w:val="300"/>
        </w:trPr>
        <w:tc>
          <w:tcPr>
            <w:tcW w:w="3060" w:type="dxa"/>
            <w:vAlign w:val="center"/>
          </w:tcPr>
          <w:p w:rsidR="00431B9D" w:rsidRPr="00621BF1" w:rsidRDefault="00431B9D" w:rsidP="00ED0C53">
            <w:pPr>
              <w:spacing w:after="120"/>
              <w:rPr>
                <w:rFonts w:cs="Arial"/>
                <w:color w:val="000000"/>
              </w:rPr>
            </w:pPr>
            <w:r w:rsidRPr="00621BF1">
              <w:rPr>
                <w:rFonts w:cs="Arial"/>
                <w:bCs/>
                <w:color w:val="000000"/>
              </w:rPr>
              <w:t>Taux de PFA non-polio</w:t>
            </w:r>
          </w:p>
        </w:tc>
        <w:tc>
          <w:tcPr>
            <w:tcW w:w="1126" w:type="dxa"/>
            <w:shd w:val="clear" w:color="auto" w:fill="auto"/>
            <w:noWrap/>
            <w:vAlign w:val="center"/>
            <w:hideMark/>
          </w:tcPr>
          <w:p w:rsidR="00431B9D" w:rsidRPr="00621BF1" w:rsidRDefault="00431B9D" w:rsidP="00ED0C53">
            <w:pPr>
              <w:spacing w:after="120"/>
              <w:jc w:val="center"/>
              <w:rPr>
                <w:rFonts w:cs="Arial"/>
                <w:color w:val="000000"/>
              </w:rPr>
            </w:pPr>
            <w:r w:rsidRPr="00621BF1">
              <w:rPr>
                <w:rFonts w:cs="Arial"/>
                <w:color w:val="000000"/>
              </w:rPr>
              <w:t>4,1</w:t>
            </w:r>
          </w:p>
        </w:tc>
        <w:tc>
          <w:tcPr>
            <w:tcW w:w="1418" w:type="dxa"/>
            <w:shd w:val="clear" w:color="auto" w:fill="auto"/>
            <w:noWrap/>
            <w:vAlign w:val="center"/>
            <w:hideMark/>
          </w:tcPr>
          <w:p w:rsidR="00431B9D" w:rsidRPr="00621BF1" w:rsidRDefault="00431B9D" w:rsidP="00ED0C53">
            <w:pPr>
              <w:spacing w:after="120"/>
              <w:jc w:val="center"/>
              <w:rPr>
                <w:rFonts w:cs="Arial"/>
                <w:color w:val="000000"/>
              </w:rPr>
            </w:pPr>
            <w:r w:rsidRPr="00621BF1">
              <w:rPr>
                <w:rFonts w:cs="Arial"/>
                <w:color w:val="000000"/>
              </w:rPr>
              <w:t>3,6</w:t>
            </w:r>
          </w:p>
        </w:tc>
        <w:tc>
          <w:tcPr>
            <w:tcW w:w="1146" w:type="dxa"/>
            <w:shd w:val="clear" w:color="auto" w:fill="auto"/>
            <w:noWrap/>
            <w:vAlign w:val="center"/>
            <w:hideMark/>
          </w:tcPr>
          <w:p w:rsidR="00431B9D" w:rsidRPr="00621BF1" w:rsidRDefault="00431B9D" w:rsidP="00ED0C53">
            <w:pPr>
              <w:spacing w:after="120"/>
              <w:jc w:val="center"/>
              <w:rPr>
                <w:rFonts w:cs="Arial"/>
                <w:color w:val="000000"/>
              </w:rPr>
            </w:pPr>
            <w:r w:rsidRPr="00621BF1">
              <w:rPr>
                <w:rFonts w:cs="Arial"/>
                <w:color w:val="000000"/>
              </w:rPr>
              <w:t>4,2</w:t>
            </w:r>
          </w:p>
        </w:tc>
        <w:tc>
          <w:tcPr>
            <w:tcW w:w="126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 2,7</w:t>
            </w:r>
          </w:p>
        </w:tc>
        <w:tc>
          <w:tcPr>
            <w:tcW w:w="1170" w:type="dxa"/>
            <w:shd w:val="clear" w:color="auto" w:fill="auto"/>
            <w:noWrap/>
            <w:vAlign w:val="bottom"/>
            <w:hideMark/>
          </w:tcPr>
          <w:p w:rsidR="00431B9D" w:rsidRPr="00621BF1" w:rsidRDefault="00431B9D" w:rsidP="00ED0C53">
            <w:pPr>
              <w:spacing w:after="120"/>
              <w:rPr>
                <w:rFonts w:cs="Arial"/>
                <w:color w:val="000000"/>
              </w:rPr>
            </w:pPr>
            <w:r w:rsidRPr="00621BF1">
              <w:rPr>
                <w:rFonts w:cs="Arial"/>
                <w:color w:val="000000"/>
              </w:rPr>
              <w:t> 2,8</w:t>
            </w:r>
          </w:p>
        </w:tc>
      </w:tr>
      <w:tr w:rsidR="00431B9D" w:rsidRPr="00621BF1" w:rsidTr="00ED0C53">
        <w:trPr>
          <w:trHeight w:val="585"/>
        </w:trPr>
        <w:tc>
          <w:tcPr>
            <w:tcW w:w="3060" w:type="dxa"/>
            <w:vAlign w:val="center"/>
          </w:tcPr>
          <w:p w:rsidR="00431B9D" w:rsidRPr="00621BF1" w:rsidRDefault="00431B9D" w:rsidP="00ED0C53">
            <w:pPr>
              <w:spacing w:after="120"/>
              <w:rPr>
                <w:rFonts w:cs="Arial"/>
                <w:color w:val="000000"/>
              </w:rPr>
            </w:pPr>
            <w:r w:rsidRPr="00621BF1">
              <w:rPr>
                <w:rFonts w:cs="Arial"/>
                <w:color w:val="000000"/>
              </w:rPr>
              <w:t>% de Cas de PFA avec échantillons de selles adéquats</w:t>
            </w:r>
          </w:p>
        </w:tc>
        <w:tc>
          <w:tcPr>
            <w:tcW w:w="1126" w:type="dxa"/>
            <w:shd w:val="clear" w:color="auto" w:fill="auto"/>
            <w:noWrap/>
            <w:vAlign w:val="bottom"/>
            <w:hideMark/>
          </w:tcPr>
          <w:p w:rsidR="00431B9D" w:rsidRPr="00621BF1" w:rsidRDefault="00431B9D" w:rsidP="00ED0C53">
            <w:pPr>
              <w:spacing w:after="120"/>
              <w:jc w:val="center"/>
              <w:rPr>
                <w:rFonts w:cs="Arial"/>
                <w:color w:val="000000"/>
              </w:rPr>
            </w:pPr>
            <w:r w:rsidRPr="00621BF1">
              <w:rPr>
                <w:rFonts w:cs="Arial"/>
                <w:color w:val="000000"/>
              </w:rPr>
              <w:t>93%</w:t>
            </w:r>
          </w:p>
        </w:tc>
        <w:tc>
          <w:tcPr>
            <w:tcW w:w="1418" w:type="dxa"/>
            <w:shd w:val="clear" w:color="auto" w:fill="auto"/>
            <w:noWrap/>
            <w:vAlign w:val="bottom"/>
            <w:hideMark/>
          </w:tcPr>
          <w:p w:rsidR="00431B9D" w:rsidRPr="00621BF1" w:rsidRDefault="00431B9D" w:rsidP="00ED0C53">
            <w:pPr>
              <w:spacing w:after="120"/>
              <w:jc w:val="center"/>
              <w:rPr>
                <w:rFonts w:cs="Arial"/>
                <w:color w:val="000000"/>
              </w:rPr>
            </w:pPr>
            <w:r w:rsidRPr="00621BF1">
              <w:rPr>
                <w:rFonts w:cs="Arial"/>
                <w:color w:val="000000"/>
              </w:rPr>
              <w:t>97%</w:t>
            </w:r>
          </w:p>
        </w:tc>
        <w:tc>
          <w:tcPr>
            <w:tcW w:w="1146" w:type="dxa"/>
            <w:shd w:val="clear" w:color="auto" w:fill="auto"/>
            <w:noWrap/>
            <w:vAlign w:val="bottom"/>
            <w:hideMark/>
          </w:tcPr>
          <w:p w:rsidR="00431B9D" w:rsidRPr="00621BF1" w:rsidRDefault="00431B9D" w:rsidP="00ED0C53">
            <w:pPr>
              <w:spacing w:after="120"/>
              <w:jc w:val="center"/>
              <w:rPr>
                <w:rFonts w:cs="Arial"/>
                <w:color w:val="000000"/>
              </w:rPr>
            </w:pPr>
            <w:r w:rsidRPr="00621BF1">
              <w:rPr>
                <w:rFonts w:cs="Arial"/>
                <w:color w:val="000000"/>
              </w:rPr>
              <w:t>94¨%</w:t>
            </w:r>
          </w:p>
        </w:tc>
        <w:tc>
          <w:tcPr>
            <w:tcW w:w="1260" w:type="dxa"/>
            <w:shd w:val="clear" w:color="auto" w:fill="auto"/>
            <w:noWrap/>
            <w:vAlign w:val="bottom"/>
            <w:hideMark/>
          </w:tcPr>
          <w:p w:rsidR="00431B9D" w:rsidRPr="00621BF1" w:rsidRDefault="00431B9D" w:rsidP="00ED0C53">
            <w:pPr>
              <w:spacing w:after="120"/>
              <w:jc w:val="center"/>
              <w:rPr>
                <w:rFonts w:cs="Arial"/>
                <w:color w:val="000000"/>
              </w:rPr>
            </w:pPr>
            <w:r w:rsidRPr="00621BF1">
              <w:rPr>
                <w:rFonts w:cs="Arial"/>
                <w:color w:val="000000"/>
              </w:rPr>
              <w:t>97%</w:t>
            </w:r>
          </w:p>
        </w:tc>
        <w:tc>
          <w:tcPr>
            <w:tcW w:w="1170" w:type="dxa"/>
            <w:shd w:val="clear" w:color="auto" w:fill="auto"/>
            <w:noWrap/>
            <w:vAlign w:val="bottom"/>
            <w:hideMark/>
          </w:tcPr>
          <w:p w:rsidR="00431B9D" w:rsidRPr="00621BF1" w:rsidRDefault="00431B9D" w:rsidP="00ED0C53">
            <w:pPr>
              <w:spacing w:after="120"/>
              <w:jc w:val="center"/>
              <w:rPr>
                <w:rFonts w:cs="Arial"/>
                <w:color w:val="000000"/>
              </w:rPr>
            </w:pPr>
            <w:r w:rsidRPr="00621BF1">
              <w:rPr>
                <w:rFonts w:cs="Arial"/>
                <w:color w:val="000000"/>
              </w:rPr>
              <w:t>80%</w:t>
            </w:r>
          </w:p>
        </w:tc>
      </w:tr>
    </w:tbl>
    <w:p w:rsidR="00431B9D" w:rsidRPr="00621BF1" w:rsidRDefault="00431B9D" w:rsidP="00431B9D">
      <w:pPr>
        <w:pStyle w:val="Paragraphedeliste"/>
        <w:jc w:val="both"/>
        <w:rPr>
          <w:rFonts w:cs="Arial"/>
          <w:sz w:val="24"/>
          <w:szCs w:val="24"/>
        </w:rPr>
      </w:pPr>
      <w:r w:rsidRPr="00621BF1">
        <w:rPr>
          <w:rFonts w:cs="Arial"/>
          <w:color w:val="000000"/>
          <w:sz w:val="24"/>
          <w:szCs w:val="24"/>
        </w:rPr>
        <w:t xml:space="preserve"> * PVDV : Polio Virus Dérivé Vaccinal    </w:t>
      </w:r>
    </w:p>
    <w:p w:rsidR="00431B9D" w:rsidRPr="00621BF1" w:rsidRDefault="00431B9D" w:rsidP="00431B9D">
      <w:pPr>
        <w:spacing w:after="120"/>
        <w:jc w:val="both"/>
        <w:rPr>
          <w:rFonts w:cs="Arial"/>
        </w:rPr>
      </w:pPr>
    </w:p>
    <w:p w:rsidR="00431B9D" w:rsidRPr="00621BF1" w:rsidRDefault="00431B9D" w:rsidP="00431B9D">
      <w:pPr>
        <w:spacing w:after="120"/>
        <w:jc w:val="both"/>
        <w:rPr>
          <w:rFonts w:cs="Arial"/>
        </w:rPr>
      </w:pPr>
      <w:r w:rsidRPr="00621BF1">
        <w:rPr>
          <w:rFonts w:cs="Arial"/>
        </w:rPr>
        <w:t xml:space="preserve">Le Taux de PFA non polio au niveau national a varié de 4,1 en 2011,  à 2,8 en 2015 ;  la proportion de selles adéquates était de  93¨% en 2011 et de 80% en  2015.Toutefois, des disparités entre les régions ont été notées. </w:t>
      </w:r>
    </w:p>
    <w:p w:rsidR="00431B9D" w:rsidRPr="00621BF1" w:rsidRDefault="00431B9D" w:rsidP="00431B9D">
      <w:pPr>
        <w:spacing w:after="120"/>
        <w:jc w:val="both"/>
        <w:rPr>
          <w:rFonts w:cs="Arial"/>
          <w:bCs/>
        </w:rPr>
      </w:pPr>
      <w:r w:rsidRPr="00621BF1">
        <w:rPr>
          <w:rFonts w:cs="Arial"/>
        </w:rPr>
        <w:t xml:space="preserve">Le  risque de circulation du PVS est relativement faible. Cependant, le pays  accuse de faible couverture vaccinale au VPO3 et la présence du Poliovirus de dérivé </w:t>
      </w:r>
      <w:r w:rsidR="0047227C">
        <w:rPr>
          <w:rFonts w:cs="Arial"/>
        </w:rPr>
        <w:t xml:space="preserve">de souche </w:t>
      </w:r>
      <w:r w:rsidRPr="00621BF1">
        <w:rPr>
          <w:rFonts w:cs="Arial"/>
        </w:rPr>
        <w:t>vaccinal</w:t>
      </w:r>
      <w:r w:rsidR="0047227C">
        <w:rPr>
          <w:rFonts w:cs="Arial"/>
        </w:rPr>
        <w:t>e</w:t>
      </w:r>
      <w:r w:rsidRPr="00621BF1">
        <w:rPr>
          <w:rFonts w:cs="Arial"/>
        </w:rPr>
        <w:t xml:space="preserve"> dans les districts sanitaires de Siguiri et de Kankan.</w:t>
      </w:r>
      <w:bookmarkEnd w:id="40"/>
    </w:p>
    <w:p w:rsidR="00431B9D" w:rsidRPr="00621BF1" w:rsidRDefault="00431B9D" w:rsidP="009E23F7">
      <w:pPr>
        <w:pStyle w:val="Titre3"/>
      </w:pPr>
      <w:bookmarkStart w:id="47" w:name="_Toc452745773"/>
      <w:bookmarkStart w:id="48" w:name="_Toc452746505"/>
      <w:bookmarkStart w:id="49" w:name="_Toc452747524"/>
      <w:bookmarkStart w:id="50" w:name="_Toc458593638"/>
      <w:r w:rsidRPr="00621BF1">
        <w:t>Surveillance de la rougeole</w:t>
      </w:r>
      <w:bookmarkEnd w:id="47"/>
      <w:bookmarkEnd w:id="48"/>
      <w:bookmarkEnd w:id="49"/>
      <w:bookmarkEnd w:id="50"/>
      <w:r w:rsidRPr="00621BF1">
        <w:t xml:space="preserve"> </w:t>
      </w:r>
    </w:p>
    <w:p w:rsidR="00C33A9E" w:rsidRPr="009A4696" w:rsidRDefault="00C33A9E" w:rsidP="00C33A9E">
      <w:pPr>
        <w:spacing w:after="120"/>
        <w:jc w:val="both"/>
        <w:rPr>
          <w:rFonts w:cs="Arial"/>
        </w:rPr>
      </w:pPr>
      <w:r w:rsidRPr="009A4696">
        <w:rPr>
          <w:rFonts w:cs="Arial"/>
        </w:rPr>
        <w:t xml:space="preserve">La rougeole est  une des Maladies Evitables par la vaccination. Depuis 2006, le pays mène une surveillance  basée sur le cas. Tout cas détecté par les structures à l’aide d’une définition de cas  est notifié, investigué, les échantillons  prélevés sont transmis au laboratoire pour  confirmation. </w:t>
      </w:r>
    </w:p>
    <w:p w:rsidR="00C33A9E" w:rsidRPr="009A4696" w:rsidRDefault="00C33A9E" w:rsidP="00C33A9E">
      <w:pPr>
        <w:spacing w:after="120"/>
        <w:jc w:val="both"/>
        <w:rPr>
          <w:rFonts w:cs="Arial"/>
        </w:rPr>
      </w:pPr>
      <w:r w:rsidRPr="009A4696">
        <w:rPr>
          <w:rFonts w:cs="Arial"/>
        </w:rPr>
        <w:t xml:space="preserve">Les deux principaux indicateurs de surveillance de la rougeole   recommandés par l’OMS sont : </w:t>
      </w:r>
    </w:p>
    <w:p w:rsidR="00C33A9E" w:rsidRPr="009A4696" w:rsidRDefault="00C33A9E" w:rsidP="00C33A9E">
      <w:pPr>
        <w:pStyle w:val="Paragraphedeliste"/>
        <w:numPr>
          <w:ilvl w:val="0"/>
          <w:numId w:val="55"/>
        </w:numPr>
        <w:jc w:val="both"/>
        <w:rPr>
          <w:rFonts w:cs="Arial"/>
        </w:rPr>
      </w:pPr>
      <w:r w:rsidRPr="009A4696">
        <w:rPr>
          <w:rFonts w:cs="Arial"/>
        </w:rPr>
        <w:t xml:space="preserve">Taux de notification des cas suspects : au moins  2cas suspects de rougeoles pour 100000hbts par district et par an </w:t>
      </w:r>
    </w:p>
    <w:p w:rsidR="00C33A9E" w:rsidRPr="009A4696" w:rsidRDefault="00C33A9E" w:rsidP="00C33A9E">
      <w:pPr>
        <w:pStyle w:val="Paragraphedeliste"/>
        <w:numPr>
          <w:ilvl w:val="0"/>
          <w:numId w:val="55"/>
        </w:numPr>
        <w:jc w:val="both"/>
        <w:rPr>
          <w:rFonts w:cs="Arial"/>
        </w:rPr>
      </w:pPr>
      <w:r w:rsidRPr="009A4696">
        <w:rPr>
          <w:rFonts w:cs="Arial"/>
        </w:rPr>
        <w:t>Pourcentage de district ayant notifiés au moins un cas suspects de rougeoles : 80%</w:t>
      </w:r>
    </w:p>
    <w:p w:rsidR="00C33A9E" w:rsidRPr="009A4696" w:rsidRDefault="00C33A9E" w:rsidP="00C33A9E">
      <w:pPr>
        <w:spacing w:after="120"/>
        <w:jc w:val="both"/>
        <w:rPr>
          <w:highlight w:val="yellow"/>
        </w:rPr>
      </w:pPr>
      <w:r w:rsidRPr="009A4696">
        <w:rPr>
          <w:rFonts w:cs="Arial"/>
        </w:rPr>
        <w:t xml:space="preserve">Au cours de la période 2011 - 2017, la performance  de surveillance de la rougeole enregistrée par le programme est satisfaisante de 2011-2013.   Les résultats obtenus sont présentés dans le tableau si après </w:t>
      </w:r>
    </w:p>
    <w:p w:rsidR="00C33A9E" w:rsidRDefault="00C33A9E" w:rsidP="00C33A9E">
      <w:pPr>
        <w:pStyle w:val="Lgende"/>
      </w:pPr>
      <w:r w:rsidRPr="00621BF1">
        <w:t xml:space="preserve">Tableau </w:t>
      </w:r>
      <w:r>
        <w:t>10</w:t>
      </w:r>
      <w:r w:rsidRPr="00621BF1">
        <w:t xml:space="preserve"> Performance de La surveillance de la rougeole  de 2011 à 201</w:t>
      </w:r>
      <w:r>
        <w:t>7</w:t>
      </w:r>
    </w:p>
    <w:p w:rsidR="00C33A9E" w:rsidRDefault="00C33A9E" w:rsidP="00C33A9E">
      <w:pPr>
        <w:pStyle w:val="Lgende"/>
      </w:pPr>
    </w:p>
    <w:tbl>
      <w:tblPr>
        <w:tblW w:w="4927" w:type="pct"/>
        <w:tblCellMar>
          <w:left w:w="70" w:type="dxa"/>
          <w:right w:w="70" w:type="dxa"/>
        </w:tblCellMar>
        <w:tblLook w:val="04A0" w:firstRow="1" w:lastRow="0" w:firstColumn="1" w:lastColumn="0" w:noHBand="0" w:noVBand="1"/>
      </w:tblPr>
      <w:tblGrid>
        <w:gridCol w:w="3926"/>
        <w:gridCol w:w="1247"/>
        <w:gridCol w:w="864"/>
        <w:gridCol w:w="1007"/>
        <w:gridCol w:w="719"/>
        <w:gridCol w:w="719"/>
        <w:gridCol w:w="719"/>
        <w:gridCol w:w="870"/>
      </w:tblGrid>
      <w:tr w:rsidR="00C33A9E" w:rsidRPr="00185739" w:rsidTr="00A718E5">
        <w:trPr>
          <w:trHeight w:val="367"/>
        </w:trPr>
        <w:tc>
          <w:tcPr>
            <w:tcW w:w="1949" w:type="pct"/>
            <w:vMerge w:val="restart"/>
            <w:tcBorders>
              <w:top w:val="single" w:sz="8" w:space="0" w:color="auto"/>
              <w:left w:val="single" w:sz="8" w:space="0" w:color="auto"/>
              <w:bottom w:val="single" w:sz="8" w:space="0" w:color="000000"/>
              <w:right w:val="single" w:sz="8" w:space="0" w:color="auto"/>
            </w:tcBorders>
            <w:shd w:val="clear" w:color="000000" w:fill="C45911"/>
            <w:noWrap/>
            <w:vAlign w:val="center"/>
            <w:hideMark/>
          </w:tcPr>
          <w:p w:rsidR="00C33A9E" w:rsidRPr="00185739" w:rsidRDefault="00C33A9E" w:rsidP="00A718E5">
            <w:pPr>
              <w:spacing w:after="0" w:line="240" w:lineRule="auto"/>
              <w:jc w:val="center"/>
              <w:rPr>
                <w:rFonts w:eastAsia="Times New Roman" w:cs="Times New Roman"/>
                <w:b/>
                <w:bCs/>
                <w:color w:val="FFFFFF"/>
                <w:lang w:eastAsia="fr-FR"/>
              </w:rPr>
            </w:pPr>
            <w:r w:rsidRPr="00185739">
              <w:rPr>
                <w:rFonts w:eastAsia="Times New Roman" w:cs="Arial"/>
                <w:b/>
                <w:bCs/>
                <w:color w:val="FFFFFF" w:themeColor="background1"/>
                <w:lang w:eastAsia="fr-FR"/>
              </w:rPr>
              <w:t>Indicateurs</w:t>
            </w:r>
          </w:p>
        </w:tc>
        <w:tc>
          <w:tcPr>
            <w:tcW w:w="3051" w:type="pct"/>
            <w:gridSpan w:val="7"/>
            <w:tcBorders>
              <w:top w:val="single" w:sz="8" w:space="0" w:color="auto"/>
              <w:left w:val="nil"/>
              <w:bottom w:val="single" w:sz="8" w:space="0" w:color="auto"/>
              <w:right w:val="single" w:sz="8" w:space="0" w:color="000000"/>
            </w:tcBorders>
            <w:shd w:val="clear" w:color="000000" w:fill="C45911"/>
            <w:vAlign w:val="center"/>
            <w:hideMark/>
          </w:tcPr>
          <w:p w:rsidR="00C33A9E" w:rsidRPr="00185739" w:rsidRDefault="00C33A9E" w:rsidP="00A718E5">
            <w:pPr>
              <w:spacing w:after="0" w:line="240" w:lineRule="auto"/>
              <w:jc w:val="center"/>
              <w:rPr>
                <w:rFonts w:eastAsia="Times New Roman" w:cs="Times New Roman"/>
                <w:b/>
                <w:bCs/>
                <w:color w:val="FFFFFF"/>
                <w:lang w:eastAsia="fr-FR"/>
              </w:rPr>
            </w:pPr>
            <w:r w:rsidRPr="00185739">
              <w:rPr>
                <w:rFonts w:eastAsia="Times New Roman" w:cs="Arial"/>
                <w:b/>
                <w:bCs/>
                <w:color w:val="FFFFFF" w:themeColor="background1"/>
                <w:lang w:eastAsia="fr-FR"/>
              </w:rPr>
              <w:t>Valeurs par année</w:t>
            </w:r>
          </w:p>
        </w:tc>
      </w:tr>
      <w:tr w:rsidR="00C33A9E" w:rsidRPr="00185739" w:rsidTr="00A718E5">
        <w:trPr>
          <w:trHeight w:val="367"/>
        </w:trPr>
        <w:tc>
          <w:tcPr>
            <w:tcW w:w="1949" w:type="pct"/>
            <w:vMerge/>
            <w:tcBorders>
              <w:top w:val="single" w:sz="8" w:space="0" w:color="auto"/>
              <w:left w:val="single" w:sz="8" w:space="0" w:color="auto"/>
              <w:bottom w:val="single" w:sz="8" w:space="0" w:color="000000"/>
              <w:right w:val="single" w:sz="8" w:space="0" w:color="auto"/>
            </w:tcBorders>
            <w:vAlign w:val="center"/>
            <w:hideMark/>
          </w:tcPr>
          <w:p w:rsidR="00C33A9E" w:rsidRPr="00185739" w:rsidRDefault="00C33A9E" w:rsidP="00A718E5">
            <w:pPr>
              <w:spacing w:after="0" w:line="240" w:lineRule="auto"/>
              <w:rPr>
                <w:rFonts w:eastAsia="Times New Roman" w:cs="Times New Roman"/>
                <w:b/>
                <w:bCs/>
                <w:color w:val="FFFFFF"/>
                <w:lang w:eastAsia="fr-FR"/>
              </w:rPr>
            </w:pPr>
          </w:p>
        </w:tc>
        <w:tc>
          <w:tcPr>
            <w:tcW w:w="619" w:type="pct"/>
            <w:tcBorders>
              <w:top w:val="nil"/>
              <w:left w:val="nil"/>
              <w:bottom w:val="single" w:sz="8" w:space="0" w:color="auto"/>
              <w:right w:val="single" w:sz="8" w:space="0" w:color="auto"/>
            </w:tcBorders>
            <w:shd w:val="clear" w:color="000000" w:fill="C45911"/>
            <w:noWrap/>
            <w:vAlign w:val="center"/>
            <w:hideMark/>
          </w:tcPr>
          <w:p w:rsidR="00C33A9E" w:rsidRPr="00185739" w:rsidRDefault="00C33A9E" w:rsidP="00A718E5">
            <w:pPr>
              <w:spacing w:after="0" w:line="240" w:lineRule="auto"/>
              <w:jc w:val="right"/>
              <w:rPr>
                <w:rFonts w:eastAsia="Times New Roman" w:cs="Times New Roman"/>
                <w:b/>
                <w:bCs/>
                <w:color w:val="FFFFFF"/>
                <w:lang w:eastAsia="fr-FR"/>
              </w:rPr>
            </w:pPr>
            <w:r w:rsidRPr="00185739">
              <w:rPr>
                <w:rFonts w:eastAsia="Times New Roman" w:cs="Arial"/>
                <w:b/>
                <w:bCs/>
                <w:color w:val="FFFFFF" w:themeColor="background1"/>
                <w:lang w:eastAsia="fr-FR"/>
              </w:rPr>
              <w:t>2011</w:t>
            </w:r>
          </w:p>
        </w:tc>
        <w:tc>
          <w:tcPr>
            <w:tcW w:w="429" w:type="pct"/>
            <w:tcBorders>
              <w:top w:val="nil"/>
              <w:left w:val="nil"/>
              <w:bottom w:val="single" w:sz="8" w:space="0" w:color="auto"/>
              <w:right w:val="single" w:sz="8" w:space="0" w:color="auto"/>
            </w:tcBorders>
            <w:shd w:val="clear" w:color="000000" w:fill="C45911"/>
            <w:noWrap/>
            <w:vAlign w:val="center"/>
            <w:hideMark/>
          </w:tcPr>
          <w:p w:rsidR="00C33A9E" w:rsidRPr="00185739" w:rsidRDefault="00C33A9E" w:rsidP="00A718E5">
            <w:pPr>
              <w:spacing w:after="0" w:line="240" w:lineRule="auto"/>
              <w:jc w:val="right"/>
              <w:rPr>
                <w:rFonts w:eastAsia="Times New Roman" w:cs="Times New Roman"/>
                <w:b/>
                <w:bCs/>
                <w:color w:val="FFFFFF"/>
                <w:lang w:eastAsia="fr-FR"/>
              </w:rPr>
            </w:pPr>
            <w:r w:rsidRPr="00185739">
              <w:rPr>
                <w:rFonts w:eastAsia="Times New Roman" w:cs="Arial"/>
                <w:b/>
                <w:bCs/>
                <w:color w:val="FFFFFF" w:themeColor="background1"/>
                <w:lang w:eastAsia="fr-FR"/>
              </w:rPr>
              <w:t>2012</w:t>
            </w:r>
          </w:p>
        </w:tc>
        <w:tc>
          <w:tcPr>
            <w:tcW w:w="500" w:type="pct"/>
            <w:tcBorders>
              <w:top w:val="nil"/>
              <w:left w:val="nil"/>
              <w:bottom w:val="single" w:sz="8" w:space="0" w:color="auto"/>
              <w:right w:val="single" w:sz="8" w:space="0" w:color="auto"/>
            </w:tcBorders>
            <w:shd w:val="clear" w:color="000000" w:fill="C45911"/>
            <w:noWrap/>
            <w:vAlign w:val="center"/>
            <w:hideMark/>
          </w:tcPr>
          <w:p w:rsidR="00C33A9E" w:rsidRPr="00185739" w:rsidRDefault="00C33A9E" w:rsidP="00A718E5">
            <w:pPr>
              <w:spacing w:after="0" w:line="240" w:lineRule="auto"/>
              <w:jc w:val="right"/>
              <w:rPr>
                <w:rFonts w:eastAsia="Times New Roman" w:cs="Times New Roman"/>
                <w:b/>
                <w:bCs/>
                <w:color w:val="FFFFFF"/>
                <w:lang w:eastAsia="fr-FR"/>
              </w:rPr>
            </w:pPr>
            <w:r w:rsidRPr="00185739">
              <w:rPr>
                <w:rFonts w:eastAsia="Times New Roman" w:cs="Arial"/>
                <w:b/>
                <w:bCs/>
                <w:color w:val="FFFFFF" w:themeColor="background1"/>
                <w:lang w:eastAsia="fr-FR"/>
              </w:rPr>
              <w:t>2013</w:t>
            </w:r>
          </w:p>
        </w:tc>
        <w:tc>
          <w:tcPr>
            <w:tcW w:w="357" w:type="pct"/>
            <w:tcBorders>
              <w:top w:val="nil"/>
              <w:left w:val="nil"/>
              <w:bottom w:val="single" w:sz="8" w:space="0" w:color="auto"/>
              <w:right w:val="single" w:sz="8" w:space="0" w:color="auto"/>
            </w:tcBorders>
            <w:shd w:val="clear" w:color="000000" w:fill="C45911"/>
            <w:noWrap/>
            <w:vAlign w:val="center"/>
            <w:hideMark/>
          </w:tcPr>
          <w:p w:rsidR="00C33A9E" w:rsidRPr="00185739" w:rsidRDefault="00C33A9E" w:rsidP="00A718E5">
            <w:pPr>
              <w:spacing w:after="0" w:line="240" w:lineRule="auto"/>
              <w:jc w:val="right"/>
              <w:rPr>
                <w:rFonts w:eastAsia="Times New Roman" w:cs="Times New Roman"/>
                <w:b/>
                <w:bCs/>
                <w:color w:val="FFFFFF"/>
                <w:lang w:eastAsia="fr-FR"/>
              </w:rPr>
            </w:pPr>
            <w:r w:rsidRPr="00185739">
              <w:rPr>
                <w:rFonts w:eastAsia="Times New Roman" w:cs="Arial"/>
                <w:b/>
                <w:bCs/>
                <w:color w:val="FFFFFF" w:themeColor="background1"/>
                <w:lang w:eastAsia="fr-FR"/>
              </w:rPr>
              <w:t>2014</w:t>
            </w:r>
          </w:p>
        </w:tc>
        <w:tc>
          <w:tcPr>
            <w:tcW w:w="357" w:type="pct"/>
            <w:tcBorders>
              <w:top w:val="nil"/>
              <w:left w:val="nil"/>
              <w:bottom w:val="single" w:sz="8" w:space="0" w:color="auto"/>
              <w:right w:val="single" w:sz="8" w:space="0" w:color="auto"/>
            </w:tcBorders>
            <w:shd w:val="clear" w:color="000000" w:fill="C45911"/>
            <w:noWrap/>
            <w:vAlign w:val="center"/>
            <w:hideMark/>
          </w:tcPr>
          <w:p w:rsidR="00C33A9E" w:rsidRPr="00185739" w:rsidRDefault="00C33A9E" w:rsidP="00A718E5">
            <w:pPr>
              <w:spacing w:after="0" w:line="240" w:lineRule="auto"/>
              <w:jc w:val="right"/>
              <w:rPr>
                <w:rFonts w:eastAsia="Times New Roman" w:cs="Times New Roman"/>
                <w:b/>
                <w:bCs/>
                <w:color w:val="FFFFFF"/>
                <w:lang w:eastAsia="fr-FR"/>
              </w:rPr>
            </w:pPr>
            <w:r w:rsidRPr="00185739">
              <w:rPr>
                <w:rFonts w:eastAsia="Times New Roman" w:cs="Arial"/>
                <w:b/>
                <w:bCs/>
                <w:color w:val="FFFFFF" w:themeColor="background1"/>
                <w:lang w:eastAsia="fr-FR"/>
              </w:rPr>
              <w:t>2015</w:t>
            </w:r>
          </w:p>
        </w:tc>
        <w:tc>
          <w:tcPr>
            <w:tcW w:w="357" w:type="pct"/>
            <w:tcBorders>
              <w:top w:val="nil"/>
              <w:left w:val="nil"/>
              <w:bottom w:val="single" w:sz="8" w:space="0" w:color="auto"/>
              <w:right w:val="single" w:sz="8" w:space="0" w:color="auto"/>
            </w:tcBorders>
            <w:shd w:val="clear" w:color="auto" w:fill="C45911" w:themeFill="accent2" w:themeFillShade="BF"/>
            <w:noWrap/>
            <w:vAlign w:val="center"/>
            <w:hideMark/>
          </w:tcPr>
          <w:p w:rsidR="00C33A9E" w:rsidRPr="008D30F5" w:rsidRDefault="00C33A9E" w:rsidP="00A718E5">
            <w:pPr>
              <w:spacing w:after="0" w:line="240" w:lineRule="auto"/>
              <w:jc w:val="right"/>
              <w:rPr>
                <w:rFonts w:eastAsia="Times New Roman" w:cs="Arial"/>
                <w:b/>
                <w:bCs/>
                <w:color w:val="FFFFFF" w:themeColor="background1"/>
                <w:lang w:eastAsia="fr-FR"/>
              </w:rPr>
            </w:pPr>
            <w:r w:rsidRPr="008D30F5">
              <w:rPr>
                <w:rFonts w:eastAsia="Times New Roman" w:cs="Arial"/>
                <w:b/>
                <w:bCs/>
                <w:color w:val="FFFFFF" w:themeColor="background1"/>
                <w:lang w:eastAsia="fr-FR"/>
              </w:rPr>
              <w:t>2016</w:t>
            </w:r>
          </w:p>
        </w:tc>
        <w:tc>
          <w:tcPr>
            <w:tcW w:w="431" w:type="pct"/>
            <w:tcBorders>
              <w:top w:val="nil"/>
              <w:left w:val="nil"/>
              <w:bottom w:val="single" w:sz="8" w:space="0" w:color="auto"/>
              <w:right w:val="single" w:sz="8" w:space="0" w:color="auto"/>
            </w:tcBorders>
            <w:shd w:val="clear" w:color="auto" w:fill="C45911" w:themeFill="accent2" w:themeFillShade="BF"/>
            <w:noWrap/>
            <w:vAlign w:val="center"/>
            <w:hideMark/>
          </w:tcPr>
          <w:p w:rsidR="00C33A9E" w:rsidRPr="008D30F5" w:rsidRDefault="00C33A9E" w:rsidP="00A718E5">
            <w:pPr>
              <w:spacing w:after="0" w:line="240" w:lineRule="auto"/>
              <w:jc w:val="right"/>
              <w:rPr>
                <w:rFonts w:eastAsia="Times New Roman" w:cs="Arial"/>
                <w:b/>
                <w:bCs/>
                <w:color w:val="FFFFFF" w:themeColor="background1"/>
                <w:lang w:eastAsia="fr-FR"/>
              </w:rPr>
            </w:pPr>
            <w:r w:rsidRPr="00185739">
              <w:rPr>
                <w:rFonts w:eastAsia="Times New Roman" w:cs="Arial"/>
                <w:b/>
                <w:bCs/>
                <w:color w:val="FFFFFF" w:themeColor="background1"/>
                <w:lang w:eastAsia="fr-FR"/>
              </w:rPr>
              <w:t>2017</w:t>
            </w:r>
          </w:p>
        </w:tc>
      </w:tr>
      <w:tr w:rsidR="00C33A9E" w:rsidRPr="00185739" w:rsidTr="00A718E5">
        <w:trPr>
          <w:trHeight w:val="639"/>
        </w:trPr>
        <w:tc>
          <w:tcPr>
            <w:tcW w:w="1949" w:type="pct"/>
            <w:tcBorders>
              <w:top w:val="nil"/>
              <w:left w:val="single" w:sz="8" w:space="0" w:color="auto"/>
              <w:bottom w:val="single" w:sz="8" w:space="0" w:color="auto"/>
              <w:right w:val="single" w:sz="8" w:space="0" w:color="auto"/>
            </w:tcBorders>
            <w:shd w:val="clear" w:color="auto" w:fill="auto"/>
            <w:vAlign w:val="center"/>
            <w:hideMark/>
          </w:tcPr>
          <w:p w:rsidR="00C33A9E" w:rsidRPr="00185739" w:rsidRDefault="00C33A9E" w:rsidP="00A718E5">
            <w:pPr>
              <w:spacing w:after="0" w:line="240" w:lineRule="auto"/>
              <w:rPr>
                <w:rFonts w:eastAsia="Times New Roman" w:cs="Times New Roman"/>
                <w:color w:val="000000"/>
                <w:lang w:eastAsia="fr-FR"/>
              </w:rPr>
            </w:pPr>
            <w:r w:rsidRPr="00185739">
              <w:rPr>
                <w:rFonts w:eastAsia="Times New Roman" w:cs="Arial"/>
                <w:color w:val="000000"/>
                <w:lang w:eastAsia="fr-FR"/>
              </w:rPr>
              <w:t>% de districts ayant rapporté au moins un cas de rougeole</w:t>
            </w:r>
          </w:p>
        </w:tc>
        <w:tc>
          <w:tcPr>
            <w:tcW w:w="619"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66</w:t>
            </w:r>
          </w:p>
        </w:tc>
        <w:tc>
          <w:tcPr>
            <w:tcW w:w="429"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58</w:t>
            </w:r>
          </w:p>
        </w:tc>
        <w:tc>
          <w:tcPr>
            <w:tcW w:w="500"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74</w:t>
            </w:r>
          </w:p>
        </w:tc>
        <w:tc>
          <w:tcPr>
            <w:tcW w:w="357"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89</w:t>
            </w:r>
          </w:p>
        </w:tc>
        <w:tc>
          <w:tcPr>
            <w:tcW w:w="357"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8</w:t>
            </w:r>
            <w:r>
              <w:rPr>
                <w:rFonts w:eastAsia="Times New Roman" w:cs="Arial"/>
                <w:color w:val="000000"/>
                <w:lang w:eastAsia="fr-FR"/>
              </w:rPr>
              <w:t>9</w:t>
            </w:r>
          </w:p>
        </w:tc>
        <w:tc>
          <w:tcPr>
            <w:tcW w:w="357"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Times New Roman"/>
                <w:color w:val="000000"/>
                <w:lang w:eastAsia="fr-FR"/>
              </w:rPr>
              <w:t>100</w:t>
            </w:r>
          </w:p>
        </w:tc>
        <w:tc>
          <w:tcPr>
            <w:tcW w:w="431"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Times New Roman"/>
                <w:color w:val="000000"/>
                <w:lang w:eastAsia="fr-FR"/>
              </w:rPr>
              <w:t> </w:t>
            </w:r>
            <w:r>
              <w:rPr>
                <w:rFonts w:eastAsia="Times New Roman" w:cs="Times New Roman"/>
                <w:color w:val="000000"/>
                <w:lang w:eastAsia="fr-FR"/>
              </w:rPr>
              <w:t>100</w:t>
            </w:r>
          </w:p>
        </w:tc>
      </w:tr>
      <w:tr w:rsidR="00C33A9E" w:rsidRPr="00185739" w:rsidTr="00A718E5">
        <w:trPr>
          <w:trHeight w:val="367"/>
        </w:trPr>
        <w:tc>
          <w:tcPr>
            <w:tcW w:w="1949" w:type="pct"/>
            <w:tcBorders>
              <w:top w:val="nil"/>
              <w:left w:val="single" w:sz="8" w:space="0" w:color="auto"/>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rPr>
                <w:rFonts w:eastAsia="Times New Roman" w:cs="Times New Roman"/>
                <w:color w:val="000000"/>
                <w:lang w:eastAsia="fr-FR"/>
              </w:rPr>
            </w:pPr>
            <w:r w:rsidRPr="00185739">
              <w:rPr>
                <w:rFonts w:eastAsia="Times New Roman" w:cs="Arial"/>
                <w:color w:val="000000"/>
                <w:lang w:eastAsia="fr-FR"/>
              </w:rPr>
              <w:t>Nombre de cas suspects</w:t>
            </w:r>
          </w:p>
        </w:tc>
        <w:tc>
          <w:tcPr>
            <w:tcW w:w="619"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217</w:t>
            </w:r>
          </w:p>
        </w:tc>
        <w:tc>
          <w:tcPr>
            <w:tcW w:w="429"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129</w:t>
            </w:r>
          </w:p>
        </w:tc>
        <w:tc>
          <w:tcPr>
            <w:tcW w:w="500"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Arial"/>
                <w:color w:val="000000"/>
                <w:lang w:eastAsia="fr-FR"/>
              </w:rPr>
              <w:t>215</w:t>
            </w:r>
          </w:p>
        </w:tc>
        <w:tc>
          <w:tcPr>
            <w:tcW w:w="357"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6031</w:t>
            </w:r>
          </w:p>
        </w:tc>
        <w:tc>
          <w:tcPr>
            <w:tcW w:w="357"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Arial"/>
                <w:color w:val="000000"/>
                <w:lang w:eastAsia="fr-FR"/>
              </w:rPr>
              <w:t>2205</w:t>
            </w:r>
          </w:p>
        </w:tc>
        <w:tc>
          <w:tcPr>
            <w:tcW w:w="357"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Times New Roman"/>
                <w:color w:val="000000"/>
                <w:lang w:eastAsia="fr-FR"/>
              </w:rPr>
              <w:t>1304</w:t>
            </w:r>
          </w:p>
        </w:tc>
        <w:tc>
          <w:tcPr>
            <w:tcW w:w="431"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Times New Roman"/>
                <w:color w:val="000000"/>
                <w:lang w:eastAsia="fr-FR"/>
              </w:rPr>
              <w:t>7545</w:t>
            </w:r>
          </w:p>
        </w:tc>
      </w:tr>
      <w:tr w:rsidR="00C33A9E" w:rsidRPr="00185739" w:rsidTr="00A718E5">
        <w:trPr>
          <w:trHeight w:val="367"/>
        </w:trPr>
        <w:tc>
          <w:tcPr>
            <w:tcW w:w="1949" w:type="pct"/>
            <w:tcBorders>
              <w:top w:val="nil"/>
              <w:left w:val="single" w:sz="8" w:space="0" w:color="auto"/>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rPr>
                <w:rFonts w:eastAsia="Times New Roman" w:cs="Times New Roman"/>
                <w:color w:val="000000"/>
                <w:lang w:eastAsia="fr-FR"/>
              </w:rPr>
            </w:pPr>
            <w:r w:rsidRPr="00185739">
              <w:rPr>
                <w:rFonts w:eastAsia="Times New Roman" w:cs="Arial"/>
                <w:color w:val="000000"/>
                <w:lang w:eastAsia="fr-FR"/>
              </w:rPr>
              <w:t xml:space="preserve">Nombre </w:t>
            </w:r>
            <w:proofErr w:type="spellStart"/>
            <w:r w:rsidRPr="00185739">
              <w:rPr>
                <w:rFonts w:eastAsia="Times New Roman" w:cs="Arial"/>
                <w:color w:val="000000"/>
                <w:lang w:eastAsia="fr-FR"/>
              </w:rPr>
              <w:t>IgM</w:t>
            </w:r>
            <w:proofErr w:type="spellEnd"/>
            <w:r w:rsidRPr="00185739">
              <w:rPr>
                <w:rFonts w:eastAsia="Times New Roman" w:cs="Arial"/>
                <w:color w:val="000000"/>
                <w:lang w:eastAsia="fr-FR"/>
              </w:rPr>
              <w:t xml:space="preserve"> positifs</w:t>
            </w:r>
          </w:p>
        </w:tc>
        <w:tc>
          <w:tcPr>
            <w:tcW w:w="619"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41</w:t>
            </w:r>
          </w:p>
        </w:tc>
        <w:tc>
          <w:tcPr>
            <w:tcW w:w="429"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43</w:t>
            </w:r>
          </w:p>
        </w:tc>
        <w:tc>
          <w:tcPr>
            <w:tcW w:w="500"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130</w:t>
            </w:r>
          </w:p>
        </w:tc>
        <w:tc>
          <w:tcPr>
            <w:tcW w:w="357"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338</w:t>
            </w:r>
          </w:p>
        </w:tc>
        <w:tc>
          <w:tcPr>
            <w:tcW w:w="357"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Arial"/>
                <w:color w:val="000000"/>
                <w:lang w:eastAsia="fr-FR"/>
              </w:rPr>
              <w:t>97</w:t>
            </w:r>
          </w:p>
        </w:tc>
        <w:tc>
          <w:tcPr>
            <w:tcW w:w="357"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Times New Roman"/>
                <w:color w:val="000000"/>
                <w:lang w:eastAsia="fr-FR"/>
              </w:rPr>
              <w:t>250</w:t>
            </w:r>
          </w:p>
        </w:tc>
        <w:tc>
          <w:tcPr>
            <w:tcW w:w="431" w:type="pct"/>
            <w:tcBorders>
              <w:top w:val="nil"/>
              <w:left w:val="nil"/>
              <w:bottom w:val="single" w:sz="8" w:space="0" w:color="auto"/>
              <w:right w:val="single" w:sz="8" w:space="0" w:color="auto"/>
            </w:tcBorders>
            <w:shd w:val="clear" w:color="auto" w:fill="auto"/>
            <w:noWrap/>
            <w:vAlign w:val="center"/>
            <w:hideMark/>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Times New Roman"/>
                <w:color w:val="000000"/>
                <w:lang w:eastAsia="fr-FR"/>
              </w:rPr>
              <w:t>58</w:t>
            </w:r>
            <w:r w:rsidRPr="00185739">
              <w:rPr>
                <w:rFonts w:eastAsia="Times New Roman" w:cs="Times New Roman"/>
                <w:color w:val="000000"/>
                <w:lang w:eastAsia="fr-FR"/>
              </w:rPr>
              <w:t>0</w:t>
            </w:r>
          </w:p>
        </w:tc>
      </w:tr>
      <w:tr w:rsidR="00C33A9E" w:rsidRPr="00185739" w:rsidTr="00A718E5">
        <w:trPr>
          <w:trHeight w:val="367"/>
        </w:trPr>
        <w:tc>
          <w:tcPr>
            <w:tcW w:w="1949" w:type="pct"/>
            <w:tcBorders>
              <w:top w:val="nil"/>
              <w:left w:val="single" w:sz="8" w:space="0" w:color="auto"/>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rPr>
                <w:rFonts w:eastAsia="Times New Roman" w:cs="Times New Roman"/>
                <w:color w:val="000000"/>
                <w:lang w:eastAsia="fr-FR"/>
              </w:rPr>
            </w:pPr>
            <w:r w:rsidRPr="00185739">
              <w:rPr>
                <w:rFonts w:eastAsia="Times New Roman" w:cs="Arial"/>
                <w:color w:val="000000"/>
                <w:lang w:eastAsia="fr-FR"/>
              </w:rPr>
              <w:t>Nombre de cas avec lien épidémiologique</w:t>
            </w:r>
          </w:p>
        </w:tc>
        <w:tc>
          <w:tcPr>
            <w:tcW w:w="619"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ND</w:t>
            </w:r>
          </w:p>
        </w:tc>
        <w:tc>
          <w:tcPr>
            <w:tcW w:w="429"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ND</w:t>
            </w:r>
          </w:p>
        </w:tc>
        <w:tc>
          <w:tcPr>
            <w:tcW w:w="500"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ND</w:t>
            </w:r>
          </w:p>
        </w:tc>
        <w:tc>
          <w:tcPr>
            <w:tcW w:w="357"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Arial"/>
                <w:color w:val="000000"/>
                <w:lang w:eastAsia="fr-FR"/>
              </w:rPr>
              <w:t>ND</w:t>
            </w:r>
          </w:p>
        </w:tc>
        <w:tc>
          <w:tcPr>
            <w:tcW w:w="357"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Arial"/>
                <w:color w:val="000000"/>
                <w:lang w:eastAsia="fr-FR"/>
              </w:rPr>
              <w:t>67</w:t>
            </w:r>
          </w:p>
        </w:tc>
        <w:tc>
          <w:tcPr>
            <w:tcW w:w="357"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Times New Roman"/>
                <w:color w:val="000000"/>
                <w:lang w:eastAsia="fr-FR"/>
              </w:rPr>
              <w:t>145</w:t>
            </w:r>
          </w:p>
        </w:tc>
        <w:tc>
          <w:tcPr>
            <w:tcW w:w="431"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sidRPr="00185739">
              <w:rPr>
                <w:rFonts w:eastAsia="Times New Roman" w:cs="Times New Roman"/>
                <w:color w:val="000000"/>
                <w:lang w:eastAsia="fr-FR"/>
              </w:rPr>
              <w:t>ND</w:t>
            </w:r>
          </w:p>
        </w:tc>
      </w:tr>
      <w:tr w:rsidR="00C33A9E" w:rsidRPr="00185739" w:rsidTr="00A718E5">
        <w:trPr>
          <w:trHeight w:val="367"/>
        </w:trPr>
        <w:tc>
          <w:tcPr>
            <w:tcW w:w="1949" w:type="pct"/>
            <w:tcBorders>
              <w:top w:val="nil"/>
              <w:left w:val="single" w:sz="8" w:space="0" w:color="auto"/>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rPr>
                <w:rFonts w:eastAsia="Times New Roman" w:cs="Times New Roman"/>
                <w:color w:val="000000"/>
                <w:lang w:eastAsia="fr-FR"/>
              </w:rPr>
            </w:pPr>
            <w:r>
              <w:rPr>
                <w:rFonts w:eastAsia="Times New Roman" w:cs="Times New Roman"/>
                <w:color w:val="000000"/>
                <w:lang w:eastAsia="fr-FR"/>
              </w:rPr>
              <w:t xml:space="preserve">Incidence 1cas pour 100.000 </w:t>
            </w:r>
            <w:proofErr w:type="spellStart"/>
            <w:r>
              <w:rPr>
                <w:rFonts w:eastAsia="Times New Roman" w:cs="Times New Roman"/>
                <w:color w:val="000000"/>
                <w:lang w:eastAsia="fr-FR"/>
              </w:rPr>
              <w:t>hbts</w:t>
            </w:r>
            <w:proofErr w:type="spellEnd"/>
          </w:p>
        </w:tc>
        <w:tc>
          <w:tcPr>
            <w:tcW w:w="619"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p>
        </w:tc>
        <w:tc>
          <w:tcPr>
            <w:tcW w:w="429"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p>
        </w:tc>
        <w:tc>
          <w:tcPr>
            <w:tcW w:w="500"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Times New Roman"/>
                <w:color w:val="000000"/>
                <w:lang w:eastAsia="fr-FR"/>
              </w:rPr>
              <w:t>1,03</w:t>
            </w:r>
          </w:p>
        </w:tc>
        <w:tc>
          <w:tcPr>
            <w:tcW w:w="357"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Times New Roman"/>
                <w:color w:val="000000"/>
                <w:lang w:eastAsia="fr-FR"/>
              </w:rPr>
              <w:t>2,9</w:t>
            </w:r>
          </w:p>
        </w:tc>
        <w:tc>
          <w:tcPr>
            <w:tcW w:w="357"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Times New Roman"/>
                <w:color w:val="000000"/>
                <w:lang w:eastAsia="fr-FR"/>
              </w:rPr>
              <w:t>10,8</w:t>
            </w:r>
          </w:p>
        </w:tc>
        <w:tc>
          <w:tcPr>
            <w:tcW w:w="357"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r>
              <w:rPr>
                <w:rFonts w:eastAsia="Times New Roman" w:cs="Times New Roman"/>
                <w:color w:val="000000"/>
                <w:lang w:eastAsia="fr-FR"/>
              </w:rPr>
              <w:t>0,9</w:t>
            </w:r>
          </w:p>
        </w:tc>
        <w:tc>
          <w:tcPr>
            <w:tcW w:w="431" w:type="pct"/>
            <w:tcBorders>
              <w:top w:val="nil"/>
              <w:left w:val="nil"/>
              <w:bottom w:val="single" w:sz="8" w:space="0" w:color="auto"/>
              <w:right w:val="single" w:sz="8" w:space="0" w:color="auto"/>
            </w:tcBorders>
            <w:shd w:val="clear" w:color="auto" w:fill="auto"/>
            <w:noWrap/>
            <w:vAlign w:val="center"/>
          </w:tcPr>
          <w:p w:rsidR="00C33A9E" w:rsidRPr="00185739" w:rsidRDefault="00C33A9E" w:rsidP="00A718E5">
            <w:pPr>
              <w:spacing w:after="0" w:line="240" w:lineRule="auto"/>
              <w:jc w:val="center"/>
              <w:rPr>
                <w:rFonts w:eastAsia="Times New Roman" w:cs="Times New Roman"/>
                <w:color w:val="000000"/>
                <w:lang w:eastAsia="fr-FR"/>
              </w:rPr>
            </w:pPr>
          </w:p>
        </w:tc>
      </w:tr>
    </w:tbl>
    <w:p w:rsidR="00C33A9E" w:rsidRPr="008D30F5" w:rsidRDefault="00C33A9E" w:rsidP="00C33A9E">
      <w:pPr>
        <w:pStyle w:val="Corpsdetexte"/>
        <w:rPr>
          <w:rFonts w:ascii="Gill Sans MT" w:hAnsi="Gill Sans MT"/>
          <w:sz w:val="22"/>
          <w:szCs w:val="22"/>
        </w:rPr>
      </w:pPr>
      <w:r w:rsidRPr="008D30F5">
        <w:rPr>
          <w:rFonts w:ascii="Gill Sans MT" w:hAnsi="Gill Sans MT"/>
          <w:b/>
          <w:sz w:val="18"/>
          <w:szCs w:val="18"/>
        </w:rPr>
        <w:t>Source :</w:t>
      </w:r>
      <w:r w:rsidRPr="008D30F5">
        <w:rPr>
          <w:rFonts w:ascii="Gill Sans MT" w:hAnsi="Gill Sans MT"/>
          <w:sz w:val="18"/>
          <w:szCs w:val="18"/>
        </w:rPr>
        <w:t xml:space="preserve"> Rapports annuels de surveillance du programme</w:t>
      </w:r>
      <w:r w:rsidRPr="008D30F5">
        <w:rPr>
          <w:rFonts w:ascii="Gill Sans MT" w:hAnsi="Gill Sans MT"/>
          <w:sz w:val="22"/>
          <w:szCs w:val="22"/>
        </w:rPr>
        <w:t xml:space="preserve"> et ANSS</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Ce tableau montre que, pendant les 7  années, les indicateurs de surveillance de la rougeole sont satisfaisants, pendant les trois premières années, le pourcentage des districts ayants notifiés est faible moins de 80%</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 xml:space="preserve"> Par rapport au nombre de cas suspects,  le système a enregistré une progression élevée de nombres de cas suspects de 2011 à 2017  ainsi que les cas positifs </w:t>
      </w:r>
    </w:p>
    <w:p w:rsidR="00C33A9E" w:rsidRPr="007063DC" w:rsidRDefault="00C33A9E" w:rsidP="00C33A9E">
      <w:pPr>
        <w:pStyle w:val="Corpsdetexte"/>
        <w:rPr>
          <w:bCs/>
        </w:rPr>
      </w:pPr>
      <w:r>
        <w:rPr>
          <w:rFonts w:ascii="Gill Sans MT" w:hAnsi="Gill Sans MT"/>
          <w:sz w:val="22"/>
          <w:szCs w:val="22"/>
        </w:rPr>
        <w:t xml:space="preserve">En 2014 et </w:t>
      </w:r>
      <w:r w:rsidRPr="007063DC">
        <w:rPr>
          <w:rFonts w:ascii="Gill Sans MT" w:hAnsi="Gill Sans MT"/>
          <w:sz w:val="22"/>
          <w:szCs w:val="22"/>
        </w:rPr>
        <w:t>2015, années de la survenue de l’épidémie de la maladie à virus EBOLA, le programme a totalisé le plus grand nombre de cas suspects de rougeole 2014(6031)  et 2015 (2205)</w:t>
      </w:r>
      <w:r w:rsidRPr="007063DC">
        <w:rPr>
          <w:bCs/>
        </w:rPr>
        <w:t xml:space="preserve">. </w:t>
      </w:r>
    </w:p>
    <w:p w:rsidR="00C33A9E" w:rsidRPr="009A4696" w:rsidRDefault="00C33A9E" w:rsidP="00C33A9E">
      <w:pPr>
        <w:pStyle w:val="Corpsdetexte"/>
        <w:rPr>
          <w:rFonts w:ascii="Gill Sans MT" w:hAnsi="Gill Sans MT"/>
          <w:sz w:val="22"/>
          <w:szCs w:val="22"/>
        </w:rPr>
      </w:pPr>
      <w:r w:rsidRPr="009A4696">
        <w:rPr>
          <w:rFonts w:ascii="Gill Sans MT" w:hAnsi="Gill Sans MT"/>
          <w:sz w:val="22"/>
          <w:szCs w:val="22"/>
        </w:rPr>
        <w:t>Le plus grand nombre de cas a été notifié en 2017 avec 7545 cas touchant l'ensemble du pays.</w:t>
      </w:r>
    </w:p>
    <w:p w:rsidR="00C33A9E" w:rsidRPr="009A4696" w:rsidRDefault="00C33A9E" w:rsidP="00C33A9E">
      <w:pPr>
        <w:pStyle w:val="Corpsdetexte"/>
        <w:rPr>
          <w:rFonts w:ascii="Gill Sans MT" w:hAnsi="Gill Sans MT"/>
          <w:sz w:val="22"/>
          <w:szCs w:val="22"/>
        </w:rPr>
      </w:pPr>
      <w:r w:rsidRPr="009A4696">
        <w:rPr>
          <w:rFonts w:ascii="Gill Sans MT" w:hAnsi="Gill Sans MT"/>
          <w:sz w:val="22"/>
          <w:szCs w:val="22"/>
        </w:rPr>
        <w:t>Le nombre de cas confirmés reste faible par rapport aux cas notifiés.</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L’analyse épidémiologique de la rougeole faite en 2018 couvrant les périodes 2015, 2016, 2017 et le 1er trimestre 2018  après la  campagne de vaccination contre la  rougeole, il ressort ce qui suit:</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17 sur 38 (44%) des districts sanitaires montrent la transmission  active de la rougeole;</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 xml:space="preserve">21 sur 38 (55%) des districts sanitaires n’ont pas enregistré de cas confirmés; </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9 sur 38 (24%) districts sanitaires ont atteint les deux principaux indicateurs de performance de la surveillance (Le taux de  notification et le taux de prélèvement);</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11 sur 38 (29%) districts sanitaires ont atteint au moins un des principaux indicateurs de performance de la surveillance (Le taux de notification et le taux de prélèvement);</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3 sur 11 (27%) des districts sanitaires ont atteint seulement le taux de suspect avec un spécimen;</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8 sur 11 (73%) districts sanitaires ont atteint seulement le taux de rejet;</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18 sur 38 (47%) districts sanitaires n’ont atteint aucun des principaux indicateurs de performance de la surveillance;</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20 sur 38 (53%) des districts sanitaires ont un taux de séropositivité d'au moins 40%;</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14 sur 38 (37%) des districts sanitaires sont un taux de séropositivité d'au moins 50%;</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8 sur 38 (22%) des districts sanitaires ont atteint les deux indicateurs de surveillance et (testé au moins 10 spécimens);</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4 sur 8 (50%) des districts sanitaires ont un taux de séropositivité d'au moins 40% dans ce groupe.</w:t>
      </w:r>
      <w:r w:rsidRPr="007063DC">
        <w:rPr>
          <w:rFonts w:ascii="Gill Sans MT" w:hAnsi="Gill Sans MT"/>
          <w:sz w:val="22"/>
          <w:szCs w:val="22"/>
        </w:rPr>
        <w:tab/>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 xml:space="preserve">Ainsi, la vaccination de routine, les AVS, les ripostes antérieures et la surveillance de la rougeole restent encore faibles depuis plusieurs années. Cette faiblesse  est liée entre autres, à un affaiblissement du système de santé au niveau national. Cette situation a augmenté le risque de transmission de la rougeole dans un contexte où de nombreux facteurs de risque persistent dans la plupart des districts sanitaires du pays, notamment: </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lastRenderedPageBreak/>
        <w:t>La forte densité de la population en milieu urbain surtout à Conakry, à Siguiri (896 663), Boké (501 504), Kindia (475 694), Dinguiraye (219 880);</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La persistance des cas de refus/réticences dans certaines localités;</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La faible accessibilité et d'utilisation des services de santé entrainant de faibles couvertures vaccinales des enfants cibles;</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La faible performance du système de surveillance des cas de rougeole avec un taux global de  notification de moins d’1 cas /100 000  habitants/an.</w:t>
      </w:r>
    </w:p>
    <w:p w:rsidR="00C33A9E" w:rsidRPr="007063DC" w:rsidRDefault="00C33A9E" w:rsidP="00C33A9E">
      <w:pPr>
        <w:pStyle w:val="Corpsdetexte"/>
        <w:rPr>
          <w:rFonts w:ascii="Gill Sans MT" w:hAnsi="Gill Sans MT"/>
          <w:sz w:val="22"/>
          <w:szCs w:val="22"/>
        </w:rPr>
      </w:pPr>
      <w:r w:rsidRPr="007063DC">
        <w:rPr>
          <w:rFonts w:ascii="Gill Sans MT" w:hAnsi="Gill Sans MT"/>
          <w:sz w:val="22"/>
          <w:szCs w:val="22"/>
        </w:rPr>
        <w:t>A ces facteurs de risques sus énumérés s’ajoutent la faible motivation et l’insuffisance qualitative du personnel de santé entravant ainsi l’offre de service de vaccination. La corrélation de ces risques sus cités contribue à la survenue de flambées récurrentes de rougeole. Cette situation est résumée dans le tableau ci-dessous.</w:t>
      </w:r>
    </w:p>
    <w:p w:rsidR="00431B9D" w:rsidRPr="00621BF1" w:rsidRDefault="00431B9D" w:rsidP="009E23F7">
      <w:pPr>
        <w:spacing w:after="120"/>
        <w:jc w:val="both"/>
        <w:rPr>
          <w:rFonts w:cs="Arial"/>
          <w:b/>
          <w:bCs/>
        </w:rPr>
      </w:pPr>
      <w:bookmarkStart w:id="51" w:name="_Toc366164094"/>
      <w:r w:rsidRPr="00621BF1">
        <w:rPr>
          <w:rFonts w:cs="Arial"/>
          <w:bCs/>
        </w:rPr>
        <w:t>.</w:t>
      </w:r>
    </w:p>
    <w:p w:rsidR="00431B9D" w:rsidRPr="00621BF1" w:rsidRDefault="00431B9D" w:rsidP="009E23F7">
      <w:pPr>
        <w:pStyle w:val="Titre3"/>
        <w:jc w:val="both"/>
      </w:pPr>
      <w:bookmarkStart w:id="52" w:name="_Toc433367226"/>
      <w:bookmarkStart w:id="53" w:name="_Toc452745774"/>
      <w:bookmarkStart w:id="54" w:name="_Toc452746506"/>
      <w:bookmarkStart w:id="55" w:name="_Toc452747525"/>
      <w:bookmarkStart w:id="56" w:name="_Toc458593639"/>
      <w:r w:rsidRPr="00621BF1">
        <w:t>Surveillance de la fièvre jaune</w:t>
      </w:r>
      <w:bookmarkEnd w:id="51"/>
      <w:bookmarkEnd w:id="52"/>
      <w:bookmarkEnd w:id="53"/>
      <w:bookmarkEnd w:id="54"/>
      <w:bookmarkEnd w:id="55"/>
      <w:bookmarkEnd w:id="56"/>
      <w:r w:rsidRPr="00621BF1">
        <w:t xml:space="preserve"> </w:t>
      </w:r>
    </w:p>
    <w:p w:rsidR="00431B9D" w:rsidRPr="00621BF1" w:rsidRDefault="00431B9D" w:rsidP="009E23F7">
      <w:pPr>
        <w:pStyle w:val="Corpsdetexte"/>
        <w:rPr>
          <w:rFonts w:ascii="Gill Sans MT" w:hAnsi="Gill Sans MT"/>
          <w:sz w:val="22"/>
          <w:szCs w:val="22"/>
        </w:rPr>
      </w:pPr>
      <w:r w:rsidRPr="00621BF1">
        <w:rPr>
          <w:rFonts w:ascii="Gill Sans MT" w:hAnsi="Gill Sans MT"/>
          <w:sz w:val="22"/>
          <w:szCs w:val="22"/>
        </w:rPr>
        <w:t xml:space="preserve">Tout comme la rougeole  la surveillance de la fièvre jaune est basée sur le cas. Les indicateurs de la surveillance au cours </w:t>
      </w:r>
      <w:r w:rsidRPr="00621BF1">
        <w:rPr>
          <w:rFonts w:ascii="Gill Sans MT" w:hAnsi="Gill Sans MT"/>
          <w:color w:val="000000"/>
          <w:sz w:val="22"/>
          <w:szCs w:val="22"/>
        </w:rPr>
        <w:t>des cinq (5) années se sont nettement améliorés le  nombre de districts notifiant au moins un cas  est passé  de 90%. La totalité des échantillons est parvenue au laboratoire  dans les bonnes  qualités</w:t>
      </w:r>
    </w:p>
    <w:p w:rsidR="00431B9D" w:rsidRPr="00621BF1" w:rsidRDefault="00431B9D" w:rsidP="009E23F7">
      <w:pPr>
        <w:pStyle w:val="Titre3"/>
        <w:jc w:val="both"/>
      </w:pPr>
      <w:bookmarkStart w:id="57" w:name="_Toc366164095"/>
      <w:bookmarkStart w:id="58" w:name="_Toc433367227"/>
      <w:bookmarkStart w:id="59" w:name="_Toc452745775"/>
      <w:bookmarkStart w:id="60" w:name="_Toc452746507"/>
      <w:bookmarkStart w:id="61" w:name="_Toc452747526"/>
      <w:bookmarkStart w:id="62" w:name="_Toc458593640"/>
      <w:r w:rsidRPr="00621BF1">
        <w:t>Surveillance du tétanos Néonatal</w:t>
      </w:r>
      <w:bookmarkEnd w:id="57"/>
      <w:bookmarkEnd w:id="58"/>
      <w:bookmarkEnd w:id="59"/>
      <w:bookmarkEnd w:id="60"/>
      <w:bookmarkEnd w:id="61"/>
      <w:bookmarkEnd w:id="62"/>
      <w:r w:rsidRPr="00621BF1">
        <w:t xml:space="preserve"> </w:t>
      </w:r>
    </w:p>
    <w:p w:rsidR="009E23F7" w:rsidRPr="00621BF1" w:rsidRDefault="00431B9D" w:rsidP="009E23F7">
      <w:pPr>
        <w:shd w:val="clear" w:color="auto" w:fill="FFFFFF"/>
        <w:spacing w:after="120"/>
        <w:jc w:val="both"/>
        <w:rPr>
          <w:rFonts w:cs="Arial"/>
        </w:rPr>
      </w:pPr>
      <w:r w:rsidRPr="00621BF1">
        <w:rPr>
          <w:rFonts w:cs="Arial"/>
        </w:rPr>
        <w:t>La surveillance du TMN est basée sur le cas tout cas de TNN notifié est investigué et une riposte autour du cas est réalisée.</w:t>
      </w:r>
      <w:r w:rsidR="009E23F7" w:rsidRPr="00621BF1">
        <w:rPr>
          <w:rFonts w:cs="Arial"/>
        </w:rPr>
        <w:t xml:space="preserve"> </w:t>
      </w:r>
      <w:r w:rsidRPr="00621BF1">
        <w:rPr>
          <w:rFonts w:cs="Arial"/>
        </w:rPr>
        <w:t>Le pays est engagé dans la mise en œuvre de l’initiative d’élimination du tétanos néonatal et maternel (TMN).</w:t>
      </w:r>
      <w:bookmarkStart w:id="63" w:name="_Toc366164096"/>
      <w:bookmarkStart w:id="64" w:name="_Toc433367228"/>
      <w:r w:rsidR="009E23F7" w:rsidRPr="00621BF1">
        <w:rPr>
          <w:rFonts w:cs="Arial"/>
        </w:rPr>
        <w:t xml:space="preserve">  </w:t>
      </w:r>
    </w:p>
    <w:p w:rsidR="00431B9D" w:rsidRPr="00621BF1" w:rsidRDefault="00431B9D" w:rsidP="009E23F7">
      <w:pPr>
        <w:shd w:val="clear" w:color="auto" w:fill="FFFFFF"/>
        <w:spacing w:after="120"/>
        <w:jc w:val="both"/>
        <w:rPr>
          <w:rFonts w:cs="Arial"/>
        </w:rPr>
      </w:pPr>
      <w:r w:rsidRPr="00621BF1">
        <w:rPr>
          <w:rFonts w:cs="Arial"/>
          <w:bCs/>
        </w:rPr>
        <w:t xml:space="preserve">En 2002, un plan national d’élimination a été élaboré et </w:t>
      </w:r>
      <w:r w:rsidR="009E23F7" w:rsidRPr="00621BF1">
        <w:rPr>
          <w:rFonts w:cs="Arial"/>
          <w:bCs/>
        </w:rPr>
        <w:t>devant la ré</w:t>
      </w:r>
      <w:r w:rsidR="00F13636">
        <w:rPr>
          <w:rFonts w:cs="Arial"/>
          <w:bCs/>
        </w:rPr>
        <w:t>-</w:t>
      </w:r>
      <w:r w:rsidRPr="00621BF1">
        <w:rPr>
          <w:rFonts w:cs="Arial"/>
          <w:bCs/>
        </w:rPr>
        <w:t>surgescence des cas de TMN le programme a soumis un nouveau plan d’élimination en 2011 dans le but d’att</w:t>
      </w:r>
      <w:r w:rsidRPr="00621BF1">
        <w:rPr>
          <w:rFonts w:cs="Arial"/>
        </w:rPr>
        <w:t xml:space="preserve">eindre </w:t>
      </w:r>
      <w:r w:rsidRPr="00621BF1">
        <w:rPr>
          <w:rFonts w:cs="Arial"/>
          <w:lang w:val="fr-CH"/>
        </w:rPr>
        <w:t xml:space="preserve">un minimum de 80 % de cas de TMN  dans les  15 districts à risque. .C’est ainsi </w:t>
      </w:r>
      <w:r w:rsidRPr="00621BF1">
        <w:rPr>
          <w:rFonts w:cs="Arial"/>
        </w:rPr>
        <w:t>qu’en</w:t>
      </w:r>
      <w:r w:rsidRPr="00621BF1">
        <w:rPr>
          <w:rFonts w:cs="Arial"/>
          <w:lang w:val="fr-CH"/>
        </w:rPr>
        <w:t xml:space="preserve"> 2012, des campagnes de vaccination contre le TMN ont été organisées dans les districts sanitaires concernés.</w:t>
      </w:r>
    </w:p>
    <w:p w:rsidR="00431B9D" w:rsidRPr="00621BF1" w:rsidRDefault="00431B9D" w:rsidP="009E23F7">
      <w:pPr>
        <w:autoSpaceDE w:val="0"/>
        <w:autoSpaceDN w:val="0"/>
        <w:adjustRightInd w:val="0"/>
        <w:spacing w:after="120"/>
        <w:jc w:val="both"/>
        <w:rPr>
          <w:rFonts w:cs="Arial"/>
          <w:lang w:val="fr-CH"/>
        </w:rPr>
      </w:pPr>
      <w:r w:rsidRPr="00621BF1">
        <w:rPr>
          <w:rFonts w:cs="Arial"/>
          <w:lang w:val="fr-CH"/>
        </w:rPr>
        <w:t>En 2013</w:t>
      </w:r>
      <w:r w:rsidR="009E23F7" w:rsidRPr="00621BF1">
        <w:rPr>
          <w:rFonts w:cs="Arial"/>
          <w:lang w:val="fr-CH"/>
        </w:rPr>
        <w:t>, le pays a postulé pour la pré-</w:t>
      </w:r>
      <w:r w:rsidRPr="00621BF1">
        <w:rPr>
          <w:rFonts w:cs="Arial"/>
          <w:lang w:val="fr-CH"/>
        </w:rPr>
        <w:t>validation de l’éliminatio</w:t>
      </w:r>
      <w:r w:rsidR="009E23F7" w:rsidRPr="00621BF1">
        <w:rPr>
          <w:rFonts w:cs="Arial"/>
          <w:lang w:val="fr-CH"/>
        </w:rPr>
        <w:t>n du TMN. Une mission de la pré-validation a été</w:t>
      </w:r>
      <w:r w:rsidRPr="00621BF1">
        <w:rPr>
          <w:rFonts w:cs="Arial"/>
          <w:lang w:val="fr-CH"/>
        </w:rPr>
        <w:t xml:space="preserve"> conduite dans le pays.  Les résultats des constats de  cette mission  ont montré qu’aucun district n’était  au-dessus du seuil d’élimination (moins d’un cas pour 1000 naissances vivantes). Cependant, des faiblesses  ont notées des autres approches d’élimination. Dans le cadre de la correction,  quelques recommandations ont été formulées et un plan d’action opérationnel additionnel a également élaboré</w:t>
      </w:r>
      <w:r w:rsidR="009E23F7" w:rsidRPr="00621BF1">
        <w:rPr>
          <w:rFonts w:cs="Arial"/>
          <w:lang w:val="fr-CH"/>
        </w:rPr>
        <w:t>.</w:t>
      </w:r>
      <w:r w:rsidRPr="00621BF1">
        <w:rPr>
          <w:rFonts w:cs="Arial"/>
          <w:lang w:val="fr-CH"/>
        </w:rPr>
        <w:t xml:space="preserve"> </w:t>
      </w:r>
    </w:p>
    <w:p w:rsidR="00431B9D" w:rsidRPr="00621BF1" w:rsidRDefault="00431B9D" w:rsidP="009E23F7">
      <w:pPr>
        <w:autoSpaceDE w:val="0"/>
        <w:autoSpaceDN w:val="0"/>
        <w:adjustRightInd w:val="0"/>
        <w:spacing w:after="120"/>
        <w:jc w:val="both"/>
        <w:rPr>
          <w:rFonts w:cs="Arial"/>
          <w:lang w:val="fr-CH"/>
        </w:rPr>
      </w:pPr>
      <w:r w:rsidRPr="00621BF1">
        <w:rPr>
          <w:rFonts w:cs="Arial"/>
          <w:lang w:val="fr-CH"/>
        </w:rPr>
        <w:t xml:space="preserve">Le pays a été  programmé pour la certification de l’élimination en 2014 qui malheureusement cette activité a été ajournée à cause de la survenue dans le pays  de l’épidémie de la maladie à virus Ebola. </w:t>
      </w:r>
    </w:p>
    <w:p w:rsidR="00431B9D" w:rsidRPr="00621BF1" w:rsidRDefault="00431B9D" w:rsidP="009E23F7">
      <w:pPr>
        <w:pStyle w:val="Titre3"/>
      </w:pPr>
      <w:bookmarkStart w:id="65" w:name="_Toc452745776"/>
      <w:bookmarkStart w:id="66" w:name="_Toc452746508"/>
      <w:bookmarkStart w:id="67" w:name="_Toc452747527"/>
      <w:bookmarkStart w:id="68" w:name="_Toc458593641"/>
      <w:r w:rsidRPr="00621BF1">
        <w:t>Surveillance des autres maladies</w:t>
      </w:r>
      <w:bookmarkEnd w:id="63"/>
      <w:bookmarkEnd w:id="64"/>
      <w:bookmarkEnd w:id="65"/>
      <w:bookmarkEnd w:id="66"/>
      <w:bookmarkEnd w:id="67"/>
      <w:bookmarkEnd w:id="68"/>
    </w:p>
    <w:p w:rsidR="00431B9D" w:rsidRPr="00621BF1" w:rsidRDefault="00431B9D" w:rsidP="0015288B">
      <w:pPr>
        <w:pStyle w:val="Paragraphedeliste"/>
        <w:numPr>
          <w:ilvl w:val="0"/>
          <w:numId w:val="29"/>
        </w:numPr>
        <w:rPr>
          <w:b/>
          <w:sz w:val="24"/>
        </w:rPr>
      </w:pPr>
      <w:r w:rsidRPr="00621BF1">
        <w:rPr>
          <w:b/>
          <w:sz w:val="24"/>
        </w:rPr>
        <w:t>La coqueluche </w:t>
      </w:r>
    </w:p>
    <w:p w:rsidR="00431B9D" w:rsidRPr="00621BF1" w:rsidRDefault="00431B9D" w:rsidP="00431B9D">
      <w:pPr>
        <w:spacing w:after="120"/>
        <w:jc w:val="both"/>
        <w:rPr>
          <w:rFonts w:cs="Arial"/>
          <w:bCs/>
        </w:rPr>
      </w:pPr>
      <w:r w:rsidRPr="00621BF1">
        <w:rPr>
          <w:rFonts w:cs="Arial"/>
          <w:bCs/>
        </w:rPr>
        <w:t>La surveillance de cette maladie est effective dans le système. La notification des cas est rar</w:t>
      </w:r>
      <w:r w:rsidR="00451C16">
        <w:rPr>
          <w:rFonts w:cs="Arial"/>
          <w:bCs/>
        </w:rPr>
        <w:t xml:space="preserve">e et le nombre de cas suspects </w:t>
      </w:r>
      <w:r w:rsidR="009E23F7" w:rsidRPr="00621BF1">
        <w:rPr>
          <w:rFonts w:cs="Arial"/>
          <w:bCs/>
        </w:rPr>
        <w:t>a</w:t>
      </w:r>
      <w:r w:rsidRPr="00621BF1">
        <w:rPr>
          <w:rFonts w:cs="Arial"/>
          <w:bCs/>
        </w:rPr>
        <w:t xml:space="preserve"> considérablement diminué dans le pays.</w:t>
      </w:r>
    </w:p>
    <w:p w:rsidR="00431B9D" w:rsidRPr="00621BF1" w:rsidRDefault="00431B9D" w:rsidP="00431B9D">
      <w:pPr>
        <w:spacing w:after="120"/>
        <w:jc w:val="both"/>
        <w:rPr>
          <w:rFonts w:cs="Arial"/>
          <w:bCs/>
        </w:rPr>
      </w:pPr>
      <w:r w:rsidRPr="00621BF1">
        <w:rPr>
          <w:rFonts w:cs="Arial"/>
          <w:bCs/>
        </w:rPr>
        <w:t>Au début de l’année 2016, un nombre de cas de toux quinteuses a été signalé dans le district sanitaire de Lola dans la région de N’</w:t>
      </w:r>
      <w:proofErr w:type="spellStart"/>
      <w:r w:rsidR="00F13636">
        <w:rPr>
          <w:rFonts w:cs="Arial"/>
          <w:bCs/>
        </w:rPr>
        <w:t>Z</w:t>
      </w:r>
      <w:r w:rsidRPr="00621BF1">
        <w:rPr>
          <w:rFonts w:cs="Arial"/>
          <w:bCs/>
        </w:rPr>
        <w:t>érékoré</w:t>
      </w:r>
      <w:proofErr w:type="spellEnd"/>
      <w:r w:rsidRPr="00621BF1">
        <w:rPr>
          <w:rFonts w:cs="Arial"/>
          <w:bCs/>
        </w:rPr>
        <w:t>. Les 80% de ces cas n’étaient pas vaccinés au DTC.  Les cas ont bénéficié d’une investigation par l’équipe de district. L’analyse du laboratoire ét</w:t>
      </w:r>
      <w:r w:rsidR="00451C16">
        <w:rPr>
          <w:rFonts w:cs="Arial"/>
          <w:bCs/>
        </w:rPr>
        <w:t xml:space="preserve">ait négative, mais un défaut </w:t>
      </w:r>
      <w:r w:rsidRPr="00621BF1">
        <w:rPr>
          <w:rFonts w:cs="Arial"/>
          <w:bCs/>
        </w:rPr>
        <w:t xml:space="preserve">d’équipement du laboratoire a été signalé (défaut de PCR). Dans le cadre de la riposte, les cas ont été pris en charge et la conduite d’une vaccination a été recommandée à l’équipe de district.     </w:t>
      </w:r>
    </w:p>
    <w:p w:rsidR="00431B9D" w:rsidRPr="00621BF1" w:rsidRDefault="00431B9D" w:rsidP="0015288B">
      <w:pPr>
        <w:pStyle w:val="Paragraphedeliste"/>
        <w:numPr>
          <w:ilvl w:val="0"/>
          <w:numId w:val="29"/>
        </w:numPr>
        <w:rPr>
          <w:b/>
          <w:sz w:val="24"/>
        </w:rPr>
      </w:pPr>
      <w:r w:rsidRPr="00621BF1">
        <w:rPr>
          <w:b/>
          <w:sz w:val="24"/>
        </w:rPr>
        <w:lastRenderedPageBreak/>
        <w:t xml:space="preserve">La méningite à  </w:t>
      </w:r>
      <w:proofErr w:type="spellStart"/>
      <w:r w:rsidRPr="00621BF1">
        <w:rPr>
          <w:b/>
          <w:sz w:val="24"/>
        </w:rPr>
        <w:t>Hib</w:t>
      </w:r>
      <w:proofErr w:type="spellEnd"/>
      <w:r w:rsidRPr="00621BF1">
        <w:rPr>
          <w:b/>
          <w:sz w:val="24"/>
        </w:rPr>
        <w:t xml:space="preserve"> </w:t>
      </w:r>
    </w:p>
    <w:p w:rsidR="00431B9D" w:rsidRPr="00621BF1" w:rsidRDefault="00431B9D" w:rsidP="00431B9D">
      <w:pPr>
        <w:spacing w:after="120"/>
        <w:jc w:val="both"/>
        <w:rPr>
          <w:rFonts w:cs="Arial"/>
        </w:rPr>
      </w:pPr>
      <w:r w:rsidRPr="00621BF1">
        <w:rPr>
          <w:rFonts w:cs="Arial"/>
          <w:bCs/>
        </w:rPr>
        <w:t xml:space="preserve">La surveillance de la méningite à  </w:t>
      </w:r>
      <w:proofErr w:type="spellStart"/>
      <w:r w:rsidRPr="00621BF1">
        <w:rPr>
          <w:rFonts w:cs="Arial"/>
          <w:bCs/>
        </w:rPr>
        <w:t>Hib</w:t>
      </w:r>
      <w:proofErr w:type="spellEnd"/>
      <w:r w:rsidRPr="00621BF1">
        <w:rPr>
          <w:rFonts w:cs="Arial"/>
          <w:bCs/>
        </w:rPr>
        <w:t xml:space="preserve"> est actuellement assurée par le site sentinelle au Centre Hospitalier Universitaire de </w:t>
      </w:r>
      <w:proofErr w:type="spellStart"/>
      <w:r w:rsidRPr="00621BF1">
        <w:rPr>
          <w:rFonts w:cs="Arial"/>
          <w:bCs/>
        </w:rPr>
        <w:t>Donka</w:t>
      </w:r>
      <w:proofErr w:type="spellEnd"/>
      <w:r w:rsidRPr="00621BF1">
        <w:rPr>
          <w:rFonts w:cs="Arial"/>
          <w:bCs/>
        </w:rPr>
        <w:t xml:space="preserve">. Des données ne sont pas disponibles à cause des travaux de rénovation du Centre Hospitalier Universitaire. Dans le cadre du processus de la surveillance cas par cas le pays a déjà organisé la campagne préventive contre la méningite A et la formation des agents est  envisagée dans une semaine.  </w:t>
      </w:r>
    </w:p>
    <w:p w:rsidR="00431B9D" w:rsidRPr="00621BF1" w:rsidRDefault="009E23F7" w:rsidP="009E23F7">
      <w:pPr>
        <w:pStyle w:val="Titre3"/>
      </w:pPr>
      <w:bookmarkStart w:id="69" w:name="_Toc452745777"/>
      <w:bookmarkStart w:id="70" w:name="_Toc452746509"/>
      <w:bookmarkStart w:id="71" w:name="_Toc452747528"/>
      <w:bookmarkStart w:id="72" w:name="_Toc458593642"/>
      <w:r w:rsidRPr="00621BF1">
        <w:t xml:space="preserve">Surveillance </w:t>
      </w:r>
      <w:r w:rsidR="00431B9D" w:rsidRPr="00621BF1">
        <w:t>des Manifestations Adverses Post Immunisation (MAPI)</w:t>
      </w:r>
      <w:bookmarkEnd w:id="69"/>
      <w:bookmarkEnd w:id="70"/>
      <w:bookmarkEnd w:id="71"/>
      <w:bookmarkEnd w:id="72"/>
    </w:p>
    <w:p w:rsidR="00431B9D" w:rsidRPr="00621BF1" w:rsidRDefault="00431B9D" w:rsidP="00431B9D">
      <w:pPr>
        <w:spacing w:after="120"/>
        <w:jc w:val="both"/>
        <w:rPr>
          <w:rFonts w:cs="Arial"/>
          <w:bCs/>
        </w:rPr>
      </w:pPr>
      <w:r w:rsidRPr="00621BF1">
        <w:rPr>
          <w:rFonts w:cs="Arial"/>
          <w:bCs/>
        </w:rPr>
        <w:t>Le système de surveillance des MAPI est en place et piloté par la direction nationale du laboratoire et pharmacie. Les membres des comités de pilotage et de national des experts sont sélectionnés.</w:t>
      </w:r>
    </w:p>
    <w:p w:rsidR="00431B9D" w:rsidRPr="00621BF1" w:rsidRDefault="00431B9D" w:rsidP="00431B9D">
      <w:pPr>
        <w:spacing w:after="120"/>
        <w:jc w:val="both"/>
        <w:rPr>
          <w:rFonts w:cs="Arial"/>
          <w:bCs/>
        </w:rPr>
      </w:pPr>
      <w:r w:rsidRPr="00621BF1">
        <w:rPr>
          <w:rFonts w:cs="Arial"/>
          <w:bCs/>
        </w:rPr>
        <w:t xml:space="preserve">La surveillance fait au niveau de toutes les formations sanitaires, et la mise à disposition des supports aux acteurs de terrain. Les points focaux de surveillance sont identifiés, formés et outillés. Les activités consistent  à la notification et l’investigation de tous les cas de MAPI, la prise en charge adéquate. Les Hôpitaux régionaux et nationaux sont retenus pour la prise en œuvre des cas graves. La formation du personnel des services des hôpitaux de référence est prévue. Le circuit de la remontée des données du site de notification au niveau central est défini. La classification des cas (l’imputabilité) est réalisée par le comité national des experts MAPI. </w:t>
      </w:r>
    </w:p>
    <w:p w:rsidR="00431B9D" w:rsidRPr="00621BF1" w:rsidRDefault="00431B9D" w:rsidP="00431B9D">
      <w:pPr>
        <w:autoSpaceDE w:val="0"/>
        <w:autoSpaceDN w:val="0"/>
        <w:adjustRightInd w:val="0"/>
        <w:spacing w:after="120"/>
        <w:jc w:val="both"/>
        <w:rPr>
          <w:rFonts w:cs="Arial"/>
          <w:b/>
        </w:rPr>
      </w:pPr>
    </w:p>
    <w:p w:rsidR="00431B9D" w:rsidRPr="00621BF1" w:rsidRDefault="00431B9D" w:rsidP="004B4604">
      <w:pPr>
        <w:pStyle w:val="Titre2"/>
      </w:pPr>
      <w:bookmarkStart w:id="73" w:name="_Toc433367234"/>
      <w:bookmarkStart w:id="74" w:name="_Toc451380179"/>
      <w:bookmarkStart w:id="75" w:name="_Toc452745779"/>
      <w:bookmarkStart w:id="76" w:name="_Toc452746511"/>
      <w:bookmarkStart w:id="77" w:name="_Toc452747530"/>
      <w:bookmarkStart w:id="78" w:name="_Toc458593643"/>
      <w:r w:rsidRPr="00621BF1">
        <w:t>VACCINS, CHAINE DU FROID, LOGISTIQUE</w:t>
      </w:r>
      <w:bookmarkEnd w:id="73"/>
      <w:bookmarkEnd w:id="74"/>
      <w:bookmarkEnd w:id="75"/>
      <w:bookmarkEnd w:id="76"/>
      <w:bookmarkEnd w:id="77"/>
      <w:bookmarkEnd w:id="78"/>
      <w:r w:rsidRPr="00621BF1">
        <w:t xml:space="preserve"> </w:t>
      </w:r>
    </w:p>
    <w:p w:rsidR="00431B9D" w:rsidRPr="00621BF1" w:rsidRDefault="00431B9D" w:rsidP="004C7B6E">
      <w:pPr>
        <w:pStyle w:val="Titre3"/>
      </w:pPr>
      <w:bookmarkStart w:id="79" w:name="_Toc458593644"/>
      <w:r w:rsidRPr="00621BF1">
        <w:t>Approvisionnement en vaccins et matériels d’injection</w:t>
      </w:r>
      <w:bookmarkEnd w:id="79"/>
      <w:r w:rsidRPr="00621BF1">
        <w:t> </w:t>
      </w:r>
    </w:p>
    <w:p w:rsidR="000554DB" w:rsidRPr="00621BF1" w:rsidRDefault="000554DB" w:rsidP="00431B9D">
      <w:pPr>
        <w:spacing w:after="120"/>
        <w:jc w:val="both"/>
        <w:rPr>
          <w:bCs/>
          <w:sz w:val="2"/>
        </w:rPr>
      </w:pPr>
    </w:p>
    <w:p w:rsidR="000554DB" w:rsidRPr="00621BF1" w:rsidRDefault="0039335B" w:rsidP="000554DB">
      <w:pPr>
        <w:pStyle w:val="Titre4"/>
      </w:pPr>
      <w:r w:rsidRPr="00621BF1">
        <w:t xml:space="preserve">Estimation des besoins et acquisition </w:t>
      </w:r>
    </w:p>
    <w:p w:rsidR="00C33A9E" w:rsidRPr="00866D9C" w:rsidRDefault="00C33A9E" w:rsidP="00C33A9E">
      <w:pPr>
        <w:spacing w:after="120"/>
        <w:jc w:val="both"/>
        <w:rPr>
          <w:bCs/>
        </w:rPr>
      </w:pPr>
      <w:r w:rsidRPr="00244357">
        <w:rPr>
          <w:bCs/>
        </w:rPr>
        <w:t>La gestion et la qualité des vaccins ainsi que leur distribution à différents niveaux du système de santé.</w:t>
      </w:r>
      <w:r w:rsidRPr="00621BF1">
        <w:rPr>
          <w:bCs/>
        </w:rPr>
        <w:t xml:space="preserve"> </w:t>
      </w:r>
      <w:r w:rsidRPr="00621BF1">
        <w:t>L’estimation des besoins annuels par antigène et intrants est faite avec l’UNICEF en utilisant la méthode de la population cible du PEV (Vaccines Fore casting).</w:t>
      </w:r>
    </w:p>
    <w:p w:rsidR="00C33A9E" w:rsidRPr="00621BF1" w:rsidRDefault="00C33A9E" w:rsidP="00C33A9E">
      <w:pPr>
        <w:spacing w:after="120"/>
        <w:ind w:right="199"/>
        <w:jc w:val="both"/>
      </w:pPr>
      <w:r w:rsidRPr="00621BF1">
        <w:t>L’Etat à travers la ligne « achat de vaccins et matériel de vaccination » dans son budget national de développement (BND). Depuis 2005, GAVI et l’UNICEF prennent en charge les nouveaux vaccins, les vaccins sous-utilisés et les vaccins des campagnes. Il faut cependant rappeler que l’Etat assure le cofinancement  de ces derniers. Mais, pour les deux dernières années (2014-2015),</w:t>
      </w:r>
      <w:r>
        <w:t xml:space="preserve"> GAVI a exempt</w:t>
      </w:r>
      <w:r w:rsidRPr="008A0D4F">
        <w:t>é</w:t>
      </w:r>
      <w:r w:rsidRPr="00621BF1">
        <w:t xml:space="preserve"> la Guinée de ce cofinancement en raison de la survenue de l’épidémie de la maladie à virus Ebola. </w:t>
      </w:r>
    </w:p>
    <w:p w:rsidR="00C33A9E" w:rsidRDefault="00C33A9E" w:rsidP="00C33A9E">
      <w:pPr>
        <w:spacing w:after="120"/>
        <w:ind w:right="199"/>
        <w:jc w:val="both"/>
      </w:pPr>
      <w:r w:rsidRPr="00621BF1">
        <w:t>En 2007, grâce à la signature de  la convention entre le gouvernement et l’UNICEF pour l’Initiative d’Indépendance Vaccinale, les vaccins sont fournis par l’UNICEF selon une ligne budgétaire. Ainsi, les commandes faites par le PEV/SSP sont transmises à l’Unicef/Guinée qui facilite, par son système d’approvisionnement, la fourniture de vaccins pré qualifiés par l’OMS. Pour les vaccins traditionnels</w:t>
      </w:r>
      <w:r>
        <w:t xml:space="preserve"> (BCG, VPO, VAR, Td</w:t>
      </w:r>
      <w:r w:rsidRPr="00244357">
        <w:t>),</w:t>
      </w:r>
      <w:r w:rsidRPr="00621BF1">
        <w:t xml:space="preserve"> l’achat </w:t>
      </w:r>
      <w:r>
        <w:t xml:space="preserve">devrait être assuré par l’Etat. Toutefois, les partenaires </w:t>
      </w:r>
      <w:r w:rsidRPr="00621BF1">
        <w:t>(Unicef, BM</w:t>
      </w:r>
      <w:r>
        <w:t>, JICA</w:t>
      </w:r>
      <w:r w:rsidRPr="00621BF1">
        <w:t>….).</w:t>
      </w:r>
      <w:r>
        <w:t xml:space="preserve">apportent un appui au Gouvernement pour l’achat de ces vaccins </w:t>
      </w:r>
      <w:r w:rsidRPr="00621BF1">
        <w:t xml:space="preserve"> La mise en œuvre du </w:t>
      </w:r>
      <w:proofErr w:type="spellStart"/>
      <w:r w:rsidRPr="00621BF1">
        <w:t>forecast</w:t>
      </w:r>
      <w:proofErr w:type="spellEnd"/>
      <w:r w:rsidRPr="00621BF1">
        <w:t xml:space="preserve"> n’est pas effective faute de mise à disposition du budget nécessaire pour l’achat des vaccins et consommables. </w:t>
      </w:r>
    </w:p>
    <w:p w:rsidR="00C33A9E" w:rsidRPr="00621BF1" w:rsidRDefault="00C33A9E" w:rsidP="00C33A9E">
      <w:pPr>
        <w:spacing w:after="120"/>
        <w:ind w:right="199"/>
        <w:jc w:val="both"/>
      </w:pPr>
      <w:r w:rsidRPr="00621BF1">
        <w:t xml:space="preserve">L’introduction de tout nouveau vaccin et médicament </w:t>
      </w:r>
      <w:r>
        <w:t xml:space="preserve">dans le pays </w:t>
      </w:r>
      <w:r w:rsidRPr="00621BF1">
        <w:t xml:space="preserve">est conditionnée à l’approbation du Comité national de règlementation des vaccins et </w:t>
      </w:r>
      <w:r>
        <w:t xml:space="preserve">des </w:t>
      </w:r>
      <w:r w:rsidRPr="00621BF1">
        <w:t>médicaments.</w:t>
      </w:r>
    </w:p>
    <w:p w:rsidR="00431B9D" w:rsidRPr="00621BF1" w:rsidRDefault="0047227C" w:rsidP="000554DB">
      <w:pPr>
        <w:pStyle w:val="Titre4"/>
      </w:pPr>
      <w:r>
        <w:t>Approvisionnement</w:t>
      </w:r>
    </w:p>
    <w:p w:rsidR="00431B9D" w:rsidRPr="00621BF1" w:rsidRDefault="00431B9D" w:rsidP="00431B9D">
      <w:pPr>
        <w:spacing w:after="120"/>
        <w:jc w:val="both"/>
      </w:pPr>
      <w:r w:rsidRPr="00621BF1">
        <w:t xml:space="preserve">L’approvisionnement est semestriel pour le niveau central, trimestriel pour les dépôts régionaux et   mensuel pour  le niveau préfectoral et les centres de santé. </w:t>
      </w:r>
    </w:p>
    <w:p w:rsidR="00431B9D" w:rsidRPr="00621BF1" w:rsidRDefault="00431B9D" w:rsidP="004B4604">
      <w:pPr>
        <w:pBdr>
          <w:top w:val="single" w:sz="4" w:space="1" w:color="auto"/>
          <w:left w:val="single" w:sz="4" w:space="4" w:color="auto"/>
          <w:bottom w:val="single" w:sz="4" w:space="1" w:color="auto"/>
          <w:right w:val="single" w:sz="4" w:space="0" w:color="auto"/>
        </w:pBdr>
        <w:shd w:val="clear" w:color="auto" w:fill="D9D9D9" w:themeFill="background1" w:themeFillShade="D9"/>
        <w:spacing w:after="120"/>
      </w:pPr>
      <w:r w:rsidRPr="00621BF1">
        <w:rPr>
          <w:b/>
          <w:bCs/>
        </w:rPr>
        <w:lastRenderedPageBreak/>
        <w:t>Niveau  Central</w:t>
      </w:r>
      <w:r w:rsidRPr="00621BF1">
        <w:rPr>
          <w:noProof/>
        </w:rPr>
        <w:sym w:font="Wingdings" w:char="F0E0"/>
      </w:r>
      <w:r w:rsidRPr="00621BF1">
        <w:rPr>
          <w:b/>
          <w:bCs/>
        </w:rPr>
        <w:t>Chaîne de froid Régionale</w:t>
      </w:r>
      <w:r w:rsidRPr="00621BF1">
        <w:rPr>
          <w:noProof/>
        </w:rPr>
        <w:sym w:font="Wingdings" w:char="F0E0"/>
      </w:r>
      <w:r w:rsidRPr="00621BF1">
        <w:t xml:space="preserve"> District Sanitaire </w:t>
      </w:r>
      <w:r w:rsidRPr="00621BF1">
        <w:rPr>
          <w:noProof/>
        </w:rPr>
        <w:sym w:font="Wingdings" w:char="F0E0"/>
      </w:r>
      <w:r w:rsidRPr="00621BF1">
        <w:rPr>
          <w:b/>
          <w:bCs/>
        </w:rPr>
        <w:t>Centre de Santé</w:t>
      </w:r>
    </w:p>
    <w:p w:rsidR="00431B9D" w:rsidRPr="00621BF1" w:rsidRDefault="00431B9D" w:rsidP="004B4604">
      <w:pPr>
        <w:pBdr>
          <w:top w:val="single" w:sz="4" w:space="1" w:color="auto"/>
          <w:left w:val="single" w:sz="4" w:space="4" w:color="auto"/>
          <w:bottom w:val="single" w:sz="4" w:space="1" w:color="auto"/>
          <w:right w:val="single" w:sz="4" w:space="0" w:color="auto"/>
        </w:pBdr>
        <w:shd w:val="clear" w:color="auto" w:fill="D9D9D9" w:themeFill="background1" w:themeFillShade="D9"/>
        <w:spacing w:after="120"/>
      </w:pPr>
      <w:r w:rsidRPr="00621BF1">
        <w:t>Rythme d’approvisionnement-</w:t>
      </w:r>
      <w:r w:rsidRPr="00621BF1">
        <w:rPr>
          <w:noProof/>
        </w:rPr>
        <w:sym w:font="Wingdings" w:char="F0E0"/>
      </w:r>
      <w:r w:rsidRPr="00621BF1">
        <w:t>1 fois/trimestre-</w:t>
      </w:r>
      <w:r w:rsidRPr="00621BF1">
        <w:rPr>
          <w:noProof/>
        </w:rPr>
        <w:sym w:font="Wingdings" w:char="F0E0"/>
      </w:r>
      <w:r w:rsidRPr="00621BF1">
        <w:t>1 fois/ mois-</w:t>
      </w:r>
      <w:r w:rsidRPr="00621BF1">
        <w:rPr>
          <w:noProof/>
        </w:rPr>
        <w:sym w:font="Wingdings" w:char="F0E0"/>
      </w:r>
      <w:r w:rsidRPr="00621BF1">
        <w:t xml:space="preserve"> 1 fois/ mois</w:t>
      </w:r>
    </w:p>
    <w:p w:rsidR="0068488A" w:rsidRPr="00621BF1" w:rsidRDefault="00431B9D" w:rsidP="00431B9D">
      <w:pPr>
        <w:spacing w:after="120"/>
        <w:jc w:val="both"/>
      </w:pPr>
      <w:r w:rsidRPr="00621BF1">
        <w:t>Toutefois, certains  districts sanitaires s’approvisionnent directement au dépôt central compte tenu de leur proximité.</w:t>
      </w:r>
      <w:r w:rsidR="0039335B" w:rsidRPr="00621BF1">
        <w:t xml:space="preserve"> </w:t>
      </w:r>
      <w:r w:rsidRPr="00621BF1">
        <w:t xml:space="preserve">Le nombre d’approvisionnements  prévus  du niveau central vers les régions </w:t>
      </w:r>
      <w:r w:rsidR="0039335B" w:rsidRPr="00621BF1">
        <w:t>est</w:t>
      </w:r>
      <w:r w:rsidRPr="00621BF1">
        <w:t xml:space="preserve"> réalisé </w:t>
      </w:r>
      <w:r w:rsidR="0039335B" w:rsidRPr="00621BF1">
        <w:t xml:space="preserve">selon le </w:t>
      </w:r>
      <w:r w:rsidRPr="00621BF1">
        <w:t>plan détaillé d’approvisionnement en vaccins et consommables.</w:t>
      </w:r>
      <w:r w:rsidR="0039335B" w:rsidRPr="00621BF1">
        <w:t xml:space="preserve"> </w:t>
      </w:r>
      <w:r w:rsidRPr="00621BF1">
        <w:t>L’approvisionnement en vaccin se fait en fonction des objectifs de couverture retenus au niveau national et les besoins exprimés par les régions en rapport avec la consommation réelle du terrain, de même au niveau des districts sanitaires (DS) ou les centres de santé (CS) sur la base des rapports mensuels d’activités réalisées.</w:t>
      </w:r>
      <w:r w:rsidR="0068488A" w:rsidRPr="00621BF1">
        <w:t xml:space="preserve"> </w:t>
      </w:r>
    </w:p>
    <w:p w:rsidR="00431B9D" w:rsidRPr="00621BF1" w:rsidRDefault="0068488A" w:rsidP="00431B9D">
      <w:pPr>
        <w:spacing w:after="120"/>
        <w:jc w:val="both"/>
        <w:rPr>
          <w:color w:val="000000"/>
        </w:rPr>
      </w:pPr>
      <w:r w:rsidRPr="00621BF1">
        <w:t>Si on note, au</w:t>
      </w:r>
      <w:r w:rsidR="00431B9D" w:rsidRPr="00621BF1">
        <w:t xml:space="preserve"> niveau central</w:t>
      </w:r>
      <w:r w:rsidRPr="00621BF1">
        <w:t xml:space="preserve">, </w:t>
      </w:r>
      <w:r w:rsidR="00431B9D" w:rsidRPr="00621BF1">
        <w:t>une amélioration des approvisionnements en vaccin avec une absence de rupture de vaccin  en</w:t>
      </w:r>
      <w:r w:rsidRPr="00621BF1">
        <w:t>tre</w:t>
      </w:r>
      <w:r w:rsidR="00431B9D" w:rsidRPr="00621BF1">
        <w:t xml:space="preserve"> 2009 et 2010 et des réductions progressives du taux de perte, </w:t>
      </w:r>
      <w:r w:rsidRPr="00621BF1">
        <w:t xml:space="preserve">mais, au niveau  de certaines zones périphériques, </w:t>
      </w:r>
      <w:r w:rsidR="00431B9D" w:rsidRPr="00621BF1">
        <w:t>des approvisionnements tardifs ont été remarqués occasionnant ainsi des rupture</w:t>
      </w:r>
      <w:r w:rsidRPr="00621BF1">
        <w:t xml:space="preserve">s de stock. </w:t>
      </w:r>
      <w:r w:rsidR="00431B9D" w:rsidRPr="00621BF1">
        <w:t>En  2012 et 2013 on a  enregistré la rupture de certains antigènes comme le BCG, VPO, VAR et VAT p</w:t>
      </w:r>
      <w:r w:rsidR="00431B9D" w:rsidRPr="00621BF1">
        <w:rPr>
          <w:color w:val="000000"/>
        </w:rPr>
        <w:t>endant la période de décembre 2012 à février 2013. En 2015 les antigènes suivants ont connu une rupture : le BCG pour 2 mois à tous les niveaux,  le VPO pour 15 jours  au niveau central et le VAT pour 2</w:t>
      </w:r>
      <w:r w:rsidRPr="00621BF1">
        <w:rPr>
          <w:color w:val="000000"/>
        </w:rPr>
        <w:t xml:space="preserve"> </w:t>
      </w:r>
      <w:r w:rsidR="00431B9D" w:rsidRPr="00621BF1">
        <w:rPr>
          <w:color w:val="000000"/>
        </w:rPr>
        <w:t xml:space="preserve">mois à tous les niveaux. </w:t>
      </w:r>
    </w:p>
    <w:p w:rsidR="00431B9D" w:rsidRPr="00621BF1" w:rsidRDefault="00431B9D" w:rsidP="00431B9D">
      <w:pPr>
        <w:spacing w:after="120"/>
        <w:jc w:val="both"/>
      </w:pPr>
      <w:r w:rsidRPr="00621BF1">
        <w:t>Du point de vue assurance qualité, l’Autorité Nationale de Régulation (AN</w:t>
      </w:r>
      <w:r w:rsidR="0068488A" w:rsidRPr="00621BF1">
        <w:t xml:space="preserve">R) existe mais malheureusement </w:t>
      </w:r>
      <w:r w:rsidRPr="00621BF1">
        <w:t xml:space="preserve">ne remplit pas pleinement toutes les fonctions recommandées telle </w:t>
      </w:r>
      <w:r w:rsidR="0068488A" w:rsidRPr="00621BF1">
        <w:t xml:space="preserve">que </w:t>
      </w:r>
      <w:r w:rsidRPr="00621BF1">
        <w:t xml:space="preserve">l’analyse de la qualité des antigènes. </w:t>
      </w:r>
      <w:r w:rsidR="0068488A" w:rsidRPr="00621BF1">
        <w:t>C’est ainsi, d</w:t>
      </w:r>
      <w:r w:rsidRPr="00621BF1">
        <w:t>ans le cadre de l’indépendance vaccinale et afin de garantir la qualité des vac</w:t>
      </w:r>
      <w:r w:rsidR="0068488A" w:rsidRPr="00621BF1">
        <w:t>cins, le Gouvernement commande</w:t>
      </w:r>
      <w:r w:rsidRPr="00621BF1">
        <w:t xml:space="preserve"> </w:t>
      </w:r>
      <w:r w:rsidR="0068488A" w:rsidRPr="00621BF1">
        <w:t>les vaccins  à travers l’UNICEF.</w:t>
      </w:r>
    </w:p>
    <w:p w:rsidR="00D04F5B" w:rsidRPr="00621BF1" w:rsidRDefault="00D04F5B" w:rsidP="00D04F5B">
      <w:pPr>
        <w:pStyle w:val="Titre3"/>
      </w:pPr>
      <w:bookmarkStart w:id="80" w:name="_Toc458593645"/>
      <w:r w:rsidRPr="00621BF1">
        <w:t>Situation des équipements de la chaine du froid</w:t>
      </w:r>
      <w:bookmarkEnd w:id="80"/>
    </w:p>
    <w:p w:rsidR="00D04F5B" w:rsidRDefault="00D04F5B" w:rsidP="00D04F5B">
      <w:pPr>
        <w:spacing w:after="120"/>
        <w:jc w:val="both"/>
        <w:rPr>
          <w:color w:val="000000"/>
        </w:rPr>
      </w:pPr>
      <w:r w:rsidRPr="00621BF1">
        <w:rPr>
          <w:color w:val="000000"/>
        </w:rPr>
        <w:t xml:space="preserve">L’inventaire réalisé en 2016 a dénombré un total de 622 équipements dont 19% fonctionnent au pétrole, 13% à l’électricité et 67% solaire dont 38% SDD et 29% avec batterie. Sur les 622 équipements, 64% marchent bien, 22% sont en panne et 14% marchent avec nécessité de réparation. Selon la répartition par âge, 54% ont moins de 5 ans, 37% ont un âge compris entre 5 et 10 ans et 9% ont plus de 10 ans. En ce qui concerne la répartition selon les normes, 46% des équipements répondent aux normes PQS, 48% aux normes PIS et 4% sont domestiques. </w:t>
      </w:r>
    </w:p>
    <w:p w:rsidR="00431B9D" w:rsidRPr="00621BF1" w:rsidRDefault="0068488A" w:rsidP="004B4604">
      <w:pPr>
        <w:pStyle w:val="Titre3"/>
      </w:pPr>
      <w:bookmarkStart w:id="81" w:name="_Toc452745781"/>
      <w:bookmarkStart w:id="82" w:name="_Toc452746513"/>
      <w:bookmarkStart w:id="83" w:name="_Toc452747532"/>
      <w:bookmarkStart w:id="84" w:name="_Toc458593646"/>
      <w:r w:rsidRPr="00621BF1">
        <w:t>Capacités de stockage (C</w:t>
      </w:r>
      <w:r w:rsidR="00431B9D" w:rsidRPr="00621BF1">
        <w:t>haîne de froid</w:t>
      </w:r>
      <w:bookmarkEnd w:id="81"/>
      <w:bookmarkEnd w:id="82"/>
      <w:bookmarkEnd w:id="83"/>
      <w:r w:rsidRPr="00621BF1">
        <w:t>)</w:t>
      </w:r>
      <w:bookmarkEnd w:id="84"/>
    </w:p>
    <w:p w:rsidR="00D04F5B" w:rsidRPr="00621BF1" w:rsidRDefault="00D04F5B" w:rsidP="00D04F5B">
      <w:pPr>
        <w:pStyle w:val="Titre4"/>
      </w:pPr>
      <w:r w:rsidRPr="00621BF1">
        <w:t>Niveau central</w:t>
      </w:r>
    </w:p>
    <w:p w:rsidR="00D04F5B" w:rsidRPr="00621BF1" w:rsidRDefault="00D04F5B" w:rsidP="00D04F5B">
      <w:pPr>
        <w:pStyle w:val="Paragraphedeliste"/>
        <w:numPr>
          <w:ilvl w:val="0"/>
          <w:numId w:val="29"/>
        </w:numPr>
        <w:spacing w:after="0"/>
        <w:rPr>
          <w:rFonts w:eastAsia="Times New Roman" w:cs="Times New Roman"/>
          <w:b/>
        </w:rPr>
      </w:pPr>
      <w:r w:rsidRPr="00621BF1">
        <w:rPr>
          <w:rFonts w:eastAsia="Times New Roman" w:cs="Times New Roman"/>
          <w:b/>
        </w:rPr>
        <w:t>Etat des lieux</w:t>
      </w:r>
    </w:p>
    <w:p w:rsidR="00D04F5B" w:rsidRPr="00621BF1" w:rsidRDefault="00D04F5B" w:rsidP="00D04F5B">
      <w:pPr>
        <w:spacing w:after="0" w:line="240" w:lineRule="auto"/>
        <w:rPr>
          <w:rFonts w:eastAsia="Times New Roman" w:cs="Times New Roman"/>
        </w:rPr>
      </w:pPr>
      <w:r w:rsidRPr="00621BF1">
        <w:rPr>
          <w:rFonts w:eastAsia="Times New Roman" w:cs="Times New Roman"/>
        </w:rPr>
        <w:t>Le dépôt central dispose de 5 chambres froides positives d’une capacité brute totale de 115,000 litres et d’une chambre froide négative d’une capacité brute de 20,000 litres. Parmi les chambres froides positives</w:t>
      </w:r>
      <w:r w:rsidR="0047227C">
        <w:rPr>
          <w:rFonts w:eastAsia="Times New Roman" w:cs="Times New Roman"/>
        </w:rPr>
        <w:t xml:space="preserve">, deux (02) ne disposent pas </w:t>
      </w:r>
      <w:r w:rsidR="00F13636">
        <w:rPr>
          <w:rFonts w:eastAsia="Times New Roman" w:cs="Times New Roman"/>
        </w:rPr>
        <w:t>d’</w:t>
      </w:r>
      <w:r w:rsidR="00F13636" w:rsidRPr="00621BF1">
        <w:rPr>
          <w:rFonts w:eastAsia="Times New Roman" w:cs="Times New Roman"/>
        </w:rPr>
        <w:t>unités</w:t>
      </w:r>
      <w:r w:rsidRPr="00621BF1">
        <w:rPr>
          <w:rFonts w:eastAsia="Times New Roman" w:cs="Times New Roman"/>
        </w:rPr>
        <w:t xml:space="preserve"> frigorifiques comme recommandé par l’OMS. Les capacités nettes de stockage sont représentées dans le tableau ci-dessous</w:t>
      </w:r>
    </w:p>
    <w:p w:rsidR="00D04F5B" w:rsidRPr="00621BF1" w:rsidRDefault="00D04F5B" w:rsidP="00D04F5B">
      <w:pPr>
        <w:spacing w:after="0" w:line="240" w:lineRule="auto"/>
        <w:rPr>
          <w:rFonts w:eastAsia="Times New Roman" w:cs="Times New Roman"/>
        </w:rPr>
      </w:pPr>
    </w:p>
    <w:p w:rsidR="00D04F5B" w:rsidRPr="00621BF1" w:rsidRDefault="00D04F5B" w:rsidP="00D04F5B">
      <w:pPr>
        <w:pStyle w:val="Lgende"/>
        <w:rPr>
          <w:rFonts w:cs="Times New Roman"/>
          <w:i w:val="0"/>
          <w:sz w:val="18"/>
        </w:rPr>
      </w:pPr>
      <w:r w:rsidRPr="00621BF1">
        <w:rPr>
          <w:b/>
          <w:bCs/>
          <w:iCs/>
          <w:sz w:val="20"/>
        </w:rPr>
        <w:t xml:space="preserve">                    </w:t>
      </w:r>
      <w:bookmarkStart w:id="85" w:name="_Toc456109477"/>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11</w:t>
      </w:r>
      <w:r w:rsidR="00B51B2E" w:rsidRPr="00621BF1">
        <w:fldChar w:fldCharType="end"/>
      </w:r>
      <w:r w:rsidRPr="00621BF1">
        <w:t>: Capacité de stockage requis</w:t>
      </w:r>
      <w:r w:rsidR="00D41D0C" w:rsidRPr="00621BF1">
        <w:t>e</w:t>
      </w:r>
      <w:r w:rsidRPr="00621BF1">
        <w:t xml:space="preserve"> en positif au niveau central (litres)</w:t>
      </w:r>
      <w:bookmarkEnd w:id="85"/>
    </w:p>
    <w:tbl>
      <w:tblPr>
        <w:tblStyle w:val="Grilledutableau"/>
        <w:tblW w:w="8381" w:type="dxa"/>
        <w:tblInd w:w="709" w:type="dxa"/>
        <w:tblLayout w:type="fixed"/>
        <w:tblLook w:val="04A0" w:firstRow="1" w:lastRow="0" w:firstColumn="1" w:lastColumn="0" w:noHBand="0" w:noVBand="1"/>
      </w:tblPr>
      <w:tblGrid>
        <w:gridCol w:w="276"/>
        <w:gridCol w:w="1618"/>
        <w:gridCol w:w="1087"/>
        <w:gridCol w:w="1080"/>
        <w:gridCol w:w="1080"/>
        <w:gridCol w:w="1080"/>
        <w:gridCol w:w="1080"/>
        <w:gridCol w:w="1080"/>
      </w:tblGrid>
      <w:tr w:rsidR="00D04F5B" w:rsidRPr="00621BF1" w:rsidTr="00AA70AB">
        <w:trPr>
          <w:trHeight w:val="152"/>
        </w:trPr>
        <w:tc>
          <w:tcPr>
            <w:tcW w:w="276" w:type="dxa"/>
            <w:vMerge w:val="restart"/>
            <w:tcBorders>
              <w:top w:val="nil"/>
              <w:left w:val="nil"/>
              <w:right w:val="nil"/>
            </w:tcBorders>
            <w:shd w:val="clear" w:color="auto" w:fill="auto"/>
          </w:tcPr>
          <w:p w:rsidR="00D04F5B" w:rsidRPr="00621BF1" w:rsidRDefault="00D04F5B" w:rsidP="00D04F5B">
            <w:pPr>
              <w:rPr>
                <w:rFonts w:eastAsia="Times New Roman" w:cs="Times New Roman"/>
                <w:sz w:val="20"/>
                <w:lang w:val="fr-FR"/>
              </w:rPr>
            </w:pPr>
          </w:p>
        </w:tc>
        <w:tc>
          <w:tcPr>
            <w:tcW w:w="1618" w:type="dxa"/>
            <w:vMerge w:val="restart"/>
            <w:tcBorders>
              <w:top w:val="nil"/>
              <w:left w:val="nil"/>
            </w:tcBorders>
            <w:shd w:val="clear" w:color="auto" w:fill="auto"/>
          </w:tcPr>
          <w:p w:rsidR="00D04F5B" w:rsidRPr="00621BF1" w:rsidRDefault="00D04F5B" w:rsidP="00D04F5B">
            <w:pPr>
              <w:rPr>
                <w:rFonts w:eastAsia="Times New Roman" w:cs="Times New Roman"/>
                <w:sz w:val="20"/>
                <w:lang w:val="fr-FR"/>
              </w:rPr>
            </w:pPr>
          </w:p>
        </w:tc>
        <w:tc>
          <w:tcPr>
            <w:tcW w:w="5407" w:type="dxa"/>
            <w:gridSpan w:val="5"/>
            <w:shd w:val="clear" w:color="auto" w:fill="C45911" w:themeFill="accent2" w:themeFillShade="BF"/>
          </w:tcPr>
          <w:p w:rsidR="00D04F5B" w:rsidRPr="00621BF1" w:rsidRDefault="00D04F5B" w:rsidP="00D04F5B">
            <w:pPr>
              <w:jc w:val="center"/>
              <w:rPr>
                <w:rFonts w:eastAsia="Times New Roman" w:cs="Times New Roman"/>
                <w:b/>
                <w:color w:val="FFFFFF" w:themeColor="background1"/>
                <w:sz w:val="20"/>
              </w:rPr>
            </w:pPr>
            <w:r w:rsidRPr="00621BF1">
              <w:rPr>
                <w:rFonts w:eastAsia="Times New Roman" w:cs="Times New Roman"/>
                <w:b/>
                <w:color w:val="FFFFFF" w:themeColor="background1"/>
                <w:sz w:val="20"/>
              </w:rPr>
              <w:t>ANNEE</w:t>
            </w:r>
          </w:p>
        </w:tc>
        <w:tc>
          <w:tcPr>
            <w:tcW w:w="1080" w:type="dxa"/>
            <w:shd w:val="clear" w:color="auto" w:fill="C45911" w:themeFill="accent2" w:themeFillShade="BF"/>
          </w:tcPr>
          <w:p w:rsidR="00D04F5B" w:rsidRPr="00621BF1" w:rsidRDefault="00D04F5B" w:rsidP="00D04F5B">
            <w:pPr>
              <w:jc w:val="center"/>
              <w:rPr>
                <w:rFonts w:eastAsia="Times New Roman" w:cs="Times New Roman"/>
                <w:b/>
                <w:color w:val="FFFFFF" w:themeColor="background1"/>
                <w:sz w:val="20"/>
              </w:rPr>
            </w:pPr>
          </w:p>
        </w:tc>
      </w:tr>
      <w:tr w:rsidR="00D04F5B" w:rsidRPr="00621BF1" w:rsidTr="00AA70AB">
        <w:trPr>
          <w:trHeight w:val="157"/>
        </w:trPr>
        <w:tc>
          <w:tcPr>
            <w:tcW w:w="276" w:type="dxa"/>
            <w:vMerge/>
            <w:tcBorders>
              <w:left w:val="nil"/>
              <w:right w:val="nil"/>
            </w:tcBorders>
            <w:shd w:val="clear" w:color="auto" w:fill="auto"/>
          </w:tcPr>
          <w:p w:rsidR="00D04F5B" w:rsidRPr="00621BF1" w:rsidRDefault="00D04F5B" w:rsidP="00D04F5B">
            <w:pPr>
              <w:rPr>
                <w:rFonts w:eastAsia="Times New Roman" w:cs="Times New Roman"/>
                <w:sz w:val="20"/>
              </w:rPr>
            </w:pPr>
          </w:p>
        </w:tc>
        <w:tc>
          <w:tcPr>
            <w:tcW w:w="1618" w:type="dxa"/>
            <w:vMerge/>
            <w:tcBorders>
              <w:left w:val="nil"/>
            </w:tcBorders>
            <w:shd w:val="clear" w:color="auto" w:fill="auto"/>
          </w:tcPr>
          <w:p w:rsidR="00D04F5B" w:rsidRPr="00621BF1" w:rsidRDefault="00D04F5B" w:rsidP="00D04F5B">
            <w:pPr>
              <w:rPr>
                <w:rFonts w:eastAsia="Times New Roman" w:cs="Times New Roman"/>
                <w:sz w:val="20"/>
              </w:rPr>
            </w:pPr>
          </w:p>
        </w:tc>
        <w:tc>
          <w:tcPr>
            <w:tcW w:w="1087" w:type="dxa"/>
            <w:shd w:val="clear" w:color="auto" w:fill="C45911" w:themeFill="accent2" w:themeFillShade="BF"/>
          </w:tcPr>
          <w:p w:rsidR="00D04F5B" w:rsidRPr="00621BF1" w:rsidRDefault="00D04F5B" w:rsidP="00D04F5B">
            <w:pPr>
              <w:jc w:val="center"/>
              <w:rPr>
                <w:rFonts w:eastAsia="Times New Roman" w:cs="Times New Roman"/>
                <w:b/>
                <w:color w:val="FFFFFF" w:themeColor="background1"/>
                <w:sz w:val="20"/>
              </w:rPr>
            </w:pPr>
            <w:r w:rsidRPr="00621BF1">
              <w:rPr>
                <w:rFonts w:eastAsia="Times New Roman" w:cs="Times New Roman"/>
                <w:b/>
                <w:color w:val="FFFFFF" w:themeColor="background1"/>
                <w:sz w:val="20"/>
              </w:rPr>
              <w:t>2016</w:t>
            </w:r>
          </w:p>
        </w:tc>
        <w:tc>
          <w:tcPr>
            <w:tcW w:w="1080" w:type="dxa"/>
            <w:shd w:val="clear" w:color="auto" w:fill="C45911" w:themeFill="accent2" w:themeFillShade="BF"/>
          </w:tcPr>
          <w:p w:rsidR="00D04F5B" w:rsidRPr="00621BF1" w:rsidRDefault="00D04F5B" w:rsidP="00D04F5B">
            <w:pPr>
              <w:jc w:val="center"/>
              <w:rPr>
                <w:rFonts w:eastAsia="Times New Roman" w:cs="Times New Roman"/>
                <w:b/>
                <w:color w:val="FFFFFF" w:themeColor="background1"/>
                <w:sz w:val="20"/>
              </w:rPr>
            </w:pPr>
            <w:r w:rsidRPr="00621BF1">
              <w:rPr>
                <w:rFonts w:eastAsia="Times New Roman" w:cs="Times New Roman"/>
                <w:b/>
                <w:color w:val="FFFFFF" w:themeColor="background1"/>
                <w:sz w:val="20"/>
              </w:rPr>
              <w:t>2017</w:t>
            </w:r>
          </w:p>
        </w:tc>
        <w:tc>
          <w:tcPr>
            <w:tcW w:w="1080" w:type="dxa"/>
            <w:shd w:val="clear" w:color="auto" w:fill="C45911" w:themeFill="accent2" w:themeFillShade="BF"/>
          </w:tcPr>
          <w:p w:rsidR="00D04F5B" w:rsidRPr="00621BF1" w:rsidRDefault="00D04F5B" w:rsidP="00D04F5B">
            <w:pPr>
              <w:jc w:val="center"/>
              <w:rPr>
                <w:rFonts w:eastAsia="Times New Roman" w:cs="Times New Roman"/>
                <w:b/>
                <w:color w:val="FFFFFF" w:themeColor="background1"/>
                <w:sz w:val="20"/>
              </w:rPr>
            </w:pPr>
            <w:r w:rsidRPr="00621BF1">
              <w:rPr>
                <w:rFonts w:eastAsia="Times New Roman" w:cs="Times New Roman"/>
                <w:b/>
                <w:color w:val="FFFFFF" w:themeColor="background1"/>
                <w:sz w:val="20"/>
              </w:rPr>
              <w:t>2018</w:t>
            </w:r>
          </w:p>
        </w:tc>
        <w:tc>
          <w:tcPr>
            <w:tcW w:w="1080" w:type="dxa"/>
            <w:shd w:val="clear" w:color="auto" w:fill="C45911" w:themeFill="accent2" w:themeFillShade="BF"/>
          </w:tcPr>
          <w:p w:rsidR="00D04F5B" w:rsidRPr="00621BF1" w:rsidRDefault="00D04F5B" w:rsidP="00D04F5B">
            <w:pPr>
              <w:jc w:val="center"/>
              <w:rPr>
                <w:rFonts w:eastAsia="Times New Roman" w:cs="Times New Roman"/>
                <w:b/>
                <w:color w:val="FFFFFF" w:themeColor="background1"/>
                <w:sz w:val="20"/>
              </w:rPr>
            </w:pPr>
            <w:r w:rsidRPr="00621BF1">
              <w:rPr>
                <w:rFonts w:eastAsia="Times New Roman" w:cs="Times New Roman"/>
                <w:b/>
                <w:color w:val="FFFFFF" w:themeColor="background1"/>
                <w:sz w:val="20"/>
              </w:rPr>
              <w:t>2019</w:t>
            </w:r>
          </w:p>
        </w:tc>
        <w:tc>
          <w:tcPr>
            <w:tcW w:w="1080" w:type="dxa"/>
            <w:shd w:val="clear" w:color="auto" w:fill="C45911" w:themeFill="accent2" w:themeFillShade="BF"/>
          </w:tcPr>
          <w:p w:rsidR="00D04F5B" w:rsidRPr="00621BF1" w:rsidRDefault="00D04F5B" w:rsidP="00D04F5B">
            <w:pPr>
              <w:jc w:val="center"/>
              <w:rPr>
                <w:rFonts w:eastAsia="Times New Roman" w:cs="Times New Roman"/>
                <w:b/>
                <w:color w:val="FFFFFF" w:themeColor="background1"/>
                <w:sz w:val="20"/>
              </w:rPr>
            </w:pPr>
            <w:r w:rsidRPr="00621BF1">
              <w:rPr>
                <w:rFonts w:eastAsia="Times New Roman" w:cs="Times New Roman"/>
                <w:b/>
                <w:color w:val="FFFFFF" w:themeColor="background1"/>
                <w:sz w:val="20"/>
              </w:rPr>
              <w:t>2020</w:t>
            </w:r>
          </w:p>
        </w:tc>
        <w:tc>
          <w:tcPr>
            <w:tcW w:w="1080" w:type="dxa"/>
            <w:shd w:val="clear" w:color="auto" w:fill="C45911" w:themeFill="accent2" w:themeFillShade="BF"/>
          </w:tcPr>
          <w:p w:rsidR="00D04F5B" w:rsidRPr="00621BF1" w:rsidRDefault="00D04F5B" w:rsidP="00D04F5B">
            <w:pPr>
              <w:jc w:val="center"/>
              <w:rPr>
                <w:rFonts w:eastAsia="Times New Roman" w:cs="Times New Roman"/>
                <w:b/>
                <w:color w:val="FFFFFF" w:themeColor="background1"/>
                <w:sz w:val="20"/>
              </w:rPr>
            </w:pPr>
            <w:r w:rsidRPr="00621BF1">
              <w:rPr>
                <w:rFonts w:eastAsia="Times New Roman" w:cs="Times New Roman"/>
                <w:b/>
                <w:color w:val="FFFFFF" w:themeColor="background1"/>
                <w:sz w:val="20"/>
              </w:rPr>
              <w:t>2021</w:t>
            </w:r>
          </w:p>
        </w:tc>
      </w:tr>
      <w:tr w:rsidR="00D04F5B" w:rsidRPr="00621BF1" w:rsidTr="00AA70AB">
        <w:trPr>
          <w:trHeight w:val="638"/>
        </w:trPr>
        <w:tc>
          <w:tcPr>
            <w:tcW w:w="276" w:type="dxa"/>
          </w:tcPr>
          <w:p w:rsidR="00D04F5B" w:rsidRPr="00621BF1" w:rsidRDefault="00D04F5B" w:rsidP="00D04F5B">
            <w:pPr>
              <w:rPr>
                <w:rFonts w:eastAsia="Times New Roman" w:cs="Times New Roman"/>
                <w:sz w:val="20"/>
              </w:rPr>
            </w:pPr>
            <w:r w:rsidRPr="00621BF1">
              <w:rPr>
                <w:rFonts w:eastAsia="Times New Roman" w:cs="Times New Roman"/>
                <w:sz w:val="20"/>
              </w:rPr>
              <w:lastRenderedPageBreak/>
              <w:t>A</w:t>
            </w:r>
          </w:p>
        </w:tc>
        <w:tc>
          <w:tcPr>
            <w:tcW w:w="1618" w:type="dxa"/>
          </w:tcPr>
          <w:p w:rsidR="00D04F5B" w:rsidRPr="00621BF1" w:rsidRDefault="00D04F5B" w:rsidP="00D04F5B">
            <w:pPr>
              <w:rPr>
                <w:rFonts w:eastAsia="Times New Roman" w:cs="Times New Roman"/>
                <w:sz w:val="20"/>
                <w:lang w:val="fr-FR"/>
              </w:rPr>
            </w:pPr>
            <w:r w:rsidRPr="00621BF1">
              <w:rPr>
                <w:rFonts w:eastAsia="Times New Roman" w:cs="Times New Roman"/>
                <w:sz w:val="20"/>
                <w:lang w:val="fr-FR"/>
              </w:rPr>
              <w:t>Volume total des vaccins en stockage positif</w:t>
            </w:r>
          </w:p>
        </w:tc>
        <w:tc>
          <w:tcPr>
            <w:tcW w:w="1087" w:type="dxa"/>
            <w:vAlign w:val="center"/>
          </w:tcPr>
          <w:p w:rsidR="00D04F5B" w:rsidRPr="00621BF1" w:rsidRDefault="00D04F5B" w:rsidP="00D04F5B">
            <w:pPr>
              <w:jc w:val="center"/>
              <w:rPr>
                <w:rFonts w:eastAsia="Times New Roman" w:cs="Times New Roman"/>
                <w:sz w:val="20"/>
              </w:rPr>
            </w:pPr>
            <w:r w:rsidRPr="00621BF1">
              <w:rPr>
                <w:rFonts w:eastAsia="Times New Roman" w:cs="Times New Roman"/>
                <w:sz w:val="20"/>
              </w:rPr>
              <w:t xml:space="preserve">8510 </w:t>
            </w:r>
            <w:proofErr w:type="spellStart"/>
            <w:r w:rsidRPr="00621BF1">
              <w:rPr>
                <w:rFonts w:cs="Arial"/>
                <w:sz w:val="20"/>
                <w:szCs w:val="20"/>
              </w:rPr>
              <w:t>litr</w:t>
            </w:r>
            <w:proofErr w:type="spellEnd"/>
          </w:p>
        </w:tc>
        <w:tc>
          <w:tcPr>
            <w:tcW w:w="1080" w:type="dxa"/>
            <w:vAlign w:val="center"/>
          </w:tcPr>
          <w:p w:rsidR="00D04F5B" w:rsidRPr="00621BF1" w:rsidRDefault="00D04F5B" w:rsidP="00D04F5B">
            <w:pPr>
              <w:jc w:val="center"/>
              <w:rPr>
                <w:rFonts w:eastAsia="Times New Roman" w:cs="Times New Roman"/>
                <w:sz w:val="20"/>
              </w:rPr>
            </w:pPr>
            <w:r w:rsidRPr="00621BF1">
              <w:rPr>
                <w:rFonts w:eastAsia="Times New Roman" w:cs="Times New Roman"/>
                <w:sz w:val="20"/>
              </w:rPr>
              <w:t>16,722</w:t>
            </w:r>
            <w:r w:rsidRPr="00621BF1">
              <w:rPr>
                <w:rFonts w:cs="Arial"/>
                <w:sz w:val="20"/>
                <w:szCs w:val="20"/>
              </w:rPr>
              <w:t xml:space="preserve"> </w:t>
            </w:r>
            <w:proofErr w:type="spellStart"/>
            <w:r w:rsidRPr="00621BF1">
              <w:rPr>
                <w:rFonts w:cs="Arial"/>
                <w:sz w:val="20"/>
                <w:szCs w:val="20"/>
              </w:rPr>
              <w:t>litr</w:t>
            </w:r>
            <w:proofErr w:type="spellEnd"/>
          </w:p>
        </w:tc>
        <w:tc>
          <w:tcPr>
            <w:tcW w:w="1080" w:type="dxa"/>
            <w:vAlign w:val="center"/>
          </w:tcPr>
          <w:p w:rsidR="00D04F5B" w:rsidRPr="00621BF1" w:rsidRDefault="00D04F5B" w:rsidP="00D04F5B">
            <w:pPr>
              <w:jc w:val="center"/>
              <w:rPr>
                <w:rFonts w:eastAsia="Times New Roman" w:cs="Times New Roman"/>
                <w:sz w:val="20"/>
              </w:rPr>
            </w:pPr>
            <w:r w:rsidRPr="00621BF1">
              <w:rPr>
                <w:rFonts w:eastAsia="Times New Roman" w:cs="Times New Roman"/>
                <w:sz w:val="20"/>
              </w:rPr>
              <w:t>42,127</w:t>
            </w:r>
            <w:r w:rsidRPr="00621BF1">
              <w:rPr>
                <w:rFonts w:cs="Arial"/>
                <w:sz w:val="20"/>
                <w:szCs w:val="20"/>
              </w:rPr>
              <w:t xml:space="preserve"> </w:t>
            </w:r>
            <w:proofErr w:type="spellStart"/>
            <w:r w:rsidRPr="00621BF1">
              <w:rPr>
                <w:rFonts w:cs="Arial"/>
                <w:sz w:val="20"/>
                <w:szCs w:val="20"/>
              </w:rPr>
              <w:t>litr</w:t>
            </w:r>
            <w:proofErr w:type="spellEnd"/>
          </w:p>
        </w:tc>
        <w:tc>
          <w:tcPr>
            <w:tcW w:w="1080" w:type="dxa"/>
            <w:vAlign w:val="center"/>
          </w:tcPr>
          <w:p w:rsidR="00D04F5B" w:rsidRPr="00621BF1" w:rsidRDefault="00D04F5B" w:rsidP="00D04F5B">
            <w:pPr>
              <w:jc w:val="center"/>
              <w:rPr>
                <w:rFonts w:eastAsia="Times New Roman" w:cs="Times New Roman"/>
                <w:sz w:val="20"/>
              </w:rPr>
            </w:pPr>
            <w:r w:rsidRPr="00621BF1">
              <w:rPr>
                <w:rFonts w:eastAsia="Times New Roman" w:cs="Times New Roman"/>
                <w:sz w:val="20"/>
              </w:rPr>
              <w:t>46,155</w:t>
            </w:r>
            <w:r w:rsidRPr="00621BF1">
              <w:rPr>
                <w:rFonts w:cs="Arial"/>
                <w:sz w:val="20"/>
                <w:szCs w:val="20"/>
              </w:rPr>
              <w:t xml:space="preserve"> </w:t>
            </w:r>
            <w:proofErr w:type="spellStart"/>
            <w:r w:rsidRPr="00621BF1">
              <w:rPr>
                <w:rFonts w:cs="Arial"/>
                <w:sz w:val="20"/>
                <w:szCs w:val="20"/>
              </w:rPr>
              <w:t>litr</w:t>
            </w:r>
            <w:proofErr w:type="spellEnd"/>
          </w:p>
        </w:tc>
        <w:tc>
          <w:tcPr>
            <w:tcW w:w="1080" w:type="dxa"/>
            <w:vAlign w:val="center"/>
          </w:tcPr>
          <w:p w:rsidR="00D04F5B" w:rsidRPr="00621BF1" w:rsidRDefault="00D04F5B" w:rsidP="00D04F5B">
            <w:pPr>
              <w:jc w:val="center"/>
              <w:rPr>
                <w:rFonts w:eastAsia="Times New Roman" w:cs="Times New Roman"/>
                <w:sz w:val="20"/>
              </w:rPr>
            </w:pPr>
            <w:r w:rsidRPr="00621BF1">
              <w:rPr>
                <w:rFonts w:eastAsia="Times New Roman" w:cs="Times New Roman"/>
                <w:sz w:val="20"/>
              </w:rPr>
              <w:t>49,354</w:t>
            </w:r>
            <w:r w:rsidRPr="00621BF1">
              <w:rPr>
                <w:rFonts w:cs="Arial"/>
                <w:sz w:val="20"/>
                <w:szCs w:val="20"/>
              </w:rPr>
              <w:t xml:space="preserve"> </w:t>
            </w:r>
            <w:proofErr w:type="spellStart"/>
            <w:r w:rsidRPr="00621BF1">
              <w:rPr>
                <w:rFonts w:cs="Arial"/>
                <w:sz w:val="20"/>
                <w:szCs w:val="20"/>
              </w:rPr>
              <w:t>litr</w:t>
            </w:r>
            <w:proofErr w:type="spellEnd"/>
          </w:p>
        </w:tc>
        <w:tc>
          <w:tcPr>
            <w:tcW w:w="1080" w:type="dxa"/>
          </w:tcPr>
          <w:p w:rsidR="00D04F5B" w:rsidRPr="00621BF1" w:rsidRDefault="00D04F5B" w:rsidP="00D04F5B">
            <w:pPr>
              <w:rPr>
                <w:rFonts w:cs="Arial"/>
                <w:sz w:val="20"/>
                <w:szCs w:val="20"/>
              </w:rPr>
            </w:pPr>
          </w:p>
          <w:p w:rsidR="00D04F5B" w:rsidRPr="00621BF1" w:rsidRDefault="00D04F5B" w:rsidP="00D04F5B">
            <w:pPr>
              <w:rPr>
                <w:rFonts w:cs="Arial"/>
                <w:sz w:val="20"/>
                <w:szCs w:val="20"/>
              </w:rPr>
            </w:pPr>
            <w:r w:rsidRPr="00621BF1">
              <w:rPr>
                <w:rFonts w:cs="Arial"/>
                <w:sz w:val="20"/>
                <w:szCs w:val="20"/>
              </w:rPr>
              <w:t xml:space="preserve">60,098 </w:t>
            </w:r>
            <w:proofErr w:type="spellStart"/>
            <w:r w:rsidRPr="00621BF1">
              <w:rPr>
                <w:rFonts w:cs="Arial"/>
                <w:sz w:val="20"/>
                <w:szCs w:val="20"/>
              </w:rPr>
              <w:t>litr</w:t>
            </w:r>
            <w:proofErr w:type="spellEnd"/>
          </w:p>
        </w:tc>
      </w:tr>
      <w:tr w:rsidR="00D04F5B" w:rsidRPr="00621BF1" w:rsidTr="00AA70AB">
        <w:trPr>
          <w:trHeight w:val="688"/>
        </w:trPr>
        <w:tc>
          <w:tcPr>
            <w:tcW w:w="276" w:type="dxa"/>
          </w:tcPr>
          <w:p w:rsidR="00D04F5B" w:rsidRPr="00621BF1" w:rsidRDefault="00D04F5B" w:rsidP="00D04F5B">
            <w:pPr>
              <w:rPr>
                <w:rFonts w:eastAsia="Times New Roman" w:cs="Times New Roman"/>
                <w:sz w:val="20"/>
              </w:rPr>
            </w:pPr>
            <w:r w:rsidRPr="00621BF1">
              <w:rPr>
                <w:rFonts w:eastAsia="Times New Roman" w:cs="Times New Roman"/>
                <w:sz w:val="20"/>
              </w:rPr>
              <w:t>B</w:t>
            </w:r>
          </w:p>
        </w:tc>
        <w:tc>
          <w:tcPr>
            <w:tcW w:w="1618" w:type="dxa"/>
          </w:tcPr>
          <w:p w:rsidR="00D04F5B" w:rsidRPr="00621BF1" w:rsidRDefault="00D04F5B" w:rsidP="00D04F5B">
            <w:pPr>
              <w:rPr>
                <w:rFonts w:eastAsia="Times New Roman" w:cs="Times New Roman"/>
                <w:sz w:val="20"/>
                <w:lang w:val="fr-FR"/>
              </w:rPr>
            </w:pPr>
            <w:r w:rsidRPr="00621BF1">
              <w:rPr>
                <w:rFonts w:eastAsia="Times New Roman" w:cs="Times New Roman"/>
                <w:sz w:val="20"/>
                <w:lang w:val="fr-FR"/>
              </w:rPr>
              <w:t>Capacité positive totale nette existante</w:t>
            </w:r>
          </w:p>
        </w:tc>
        <w:tc>
          <w:tcPr>
            <w:tcW w:w="1087" w:type="dxa"/>
            <w:vAlign w:val="center"/>
          </w:tcPr>
          <w:p w:rsidR="00D04F5B" w:rsidRPr="00621BF1" w:rsidRDefault="00D04F5B" w:rsidP="00D04F5B">
            <w:pPr>
              <w:jc w:val="center"/>
              <w:rPr>
                <w:rFonts w:eastAsia="Times New Roman" w:cs="Arial"/>
                <w:sz w:val="20"/>
                <w:szCs w:val="20"/>
                <w:lang w:eastAsia="en-US"/>
              </w:rPr>
            </w:pPr>
            <w:r w:rsidRPr="00621BF1">
              <w:rPr>
                <w:rFonts w:eastAsia="Times New Roman" w:cs="Arial"/>
                <w:sz w:val="20"/>
                <w:szCs w:val="20"/>
                <w:lang w:eastAsia="en-US"/>
              </w:rPr>
              <w:t xml:space="preserve">14,500 </w:t>
            </w:r>
            <w:proofErr w:type="spellStart"/>
            <w:r w:rsidRPr="00621BF1">
              <w:rPr>
                <w:rFonts w:cs="Arial"/>
                <w:sz w:val="20"/>
                <w:szCs w:val="20"/>
              </w:rPr>
              <w:t>litr</w:t>
            </w:r>
            <w:proofErr w:type="spellEnd"/>
          </w:p>
        </w:tc>
        <w:tc>
          <w:tcPr>
            <w:tcW w:w="1080" w:type="dxa"/>
          </w:tcPr>
          <w:p w:rsidR="00D04F5B" w:rsidRPr="00621BF1" w:rsidRDefault="00D04F5B" w:rsidP="00D04F5B">
            <w:pPr>
              <w:jc w:val="center"/>
              <w:rPr>
                <w:rFonts w:eastAsia="Times New Roman" w:cs="Arial"/>
                <w:sz w:val="20"/>
                <w:szCs w:val="20"/>
                <w:lang w:eastAsia="en-US"/>
              </w:rPr>
            </w:pPr>
          </w:p>
          <w:p w:rsidR="00D04F5B" w:rsidRPr="00621BF1" w:rsidRDefault="00D04F5B" w:rsidP="00D04F5B">
            <w:pPr>
              <w:jc w:val="center"/>
              <w:rPr>
                <w:rFonts w:eastAsia="Times New Roman" w:cs="Arial"/>
                <w:sz w:val="20"/>
                <w:szCs w:val="20"/>
                <w:lang w:eastAsia="en-US"/>
              </w:rPr>
            </w:pPr>
            <w:r w:rsidRPr="00621BF1">
              <w:rPr>
                <w:rFonts w:eastAsia="Times New Roman" w:cs="Arial"/>
                <w:sz w:val="20"/>
                <w:szCs w:val="20"/>
                <w:lang w:eastAsia="en-US"/>
              </w:rPr>
              <w:t xml:space="preserve">14,500 </w:t>
            </w:r>
            <w:proofErr w:type="spellStart"/>
            <w:r w:rsidRPr="00621BF1">
              <w:rPr>
                <w:rFonts w:cs="Arial"/>
                <w:sz w:val="20"/>
                <w:szCs w:val="20"/>
              </w:rPr>
              <w:t>litr</w:t>
            </w:r>
            <w:proofErr w:type="spellEnd"/>
          </w:p>
        </w:tc>
        <w:tc>
          <w:tcPr>
            <w:tcW w:w="1080" w:type="dxa"/>
          </w:tcPr>
          <w:p w:rsidR="00D04F5B" w:rsidRPr="00621BF1" w:rsidRDefault="00D04F5B" w:rsidP="00D04F5B">
            <w:pPr>
              <w:jc w:val="center"/>
              <w:rPr>
                <w:rFonts w:eastAsia="Times New Roman" w:cs="Arial"/>
                <w:sz w:val="20"/>
                <w:szCs w:val="20"/>
                <w:lang w:eastAsia="en-US"/>
              </w:rPr>
            </w:pPr>
          </w:p>
          <w:p w:rsidR="00D04F5B" w:rsidRPr="00621BF1" w:rsidRDefault="00D04F5B" w:rsidP="00D04F5B">
            <w:pPr>
              <w:jc w:val="center"/>
              <w:rPr>
                <w:rFonts w:eastAsia="Times New Roman" w:cs="Arial"/>
                <w:sz w:val="20"/>
                <w:szCs w:val="20"/>
                <w:lang w:eastAsia="en-US"/>
              </w:rPr>
            </w:pPr>
            <w:r w:rsidRPr="00621BF1">
              <w:rPr>
                <w:rFonts w:eastAsia="Times New Roman" w:cs="Arial"/>
                <w:sz w:val="20"/>
                <w:szCs w:val="20"/>
                <w:lang w:eastAsia="en-US"/>
              </w:rPr>
              <w:t xml:space="preserve">14,500 </w:t>
            </w:r>
            <w:proofErr w:type="spellStart"/>
            <w:r w:rsidRPr="00621BF1">
              <w:rPr>
                <w:rFonts w:cs="Arial"/>
                <w:sz w:val="20"/>
                <w:szCs w:val="20"/>
              </w:rPr>
              <w:t>litr</w:t>
            </w:r>
            <w:proofErr w:type="spellEnd"/>
          </w:p>
        </w:tc>
        <w:tc>
          <w:tcPr>
            <w:tcW w:w="1080" w:type="dxa"/>
          </w:tcPr>
          <w:p w:rsidR="00D04F5B" w:rsidRPr="00621BF1" w:rsidRDefault="00D04F5B" w:rsidP="00D04F5B">
            <w:pPr>
              <w:jc w:val="center"/>
              <w:rPr>
                <w:rFonts w:eastAsia="Times New Roman" w:cs="Arial"/>
                <w:sz w:val="20"/>
                <w:szCs w:val="20"/>
                <w:lang w:eastAsia="en-US"/>
              </w:rPr>
            </w:pPr>
          </w:p>
          <w:p w:rsidR="00D04F5B" w:rsidRPr="00621BF1" w:rsidRDefault="00D04F5B" w:rsidP="00D04F5B">
            <w:pPr>
              <w:jc w:val="center"/>
              <w:rPr>
                <w:rFonts w:eastAsia="Times New Roman" w:cs="Arial"/>
                <w:sz w:val="20"/>
                <w:szCs w:val="20"/>
                <w:lang w:eastAsia="en-US"/>
              </w:rPr>
            </w:pPr>
            <w:r w:rsidRPr="00621BF1">
              <w:rPr>
                <w:rFonts w:eastAsia="Times New Roman" w:cs="Arial"/>
                <w:sz w:val="20"/>
                <w:szCs w:val="20"/>
                <w:lang w:eastAsia="en-US"/>
              </w:rPr>
              <w:t xml:space="preserve">14,500 </w:t>
            </w:r>
            <w:proofErr w:type="spellStart"/>
            <w:r w:rsidRPr="00621BF1">
              <w:rPr>
                <w:rFonts w:cs="Arial"/>
                <w:sz w:val="20"/>
                <w:szCs w:val="20"/>
              </w:rPr>
              <w:t>litr</w:t>
            </w:r>
            <w:proofErr w:type="spellEnd"/>
          </w:p>
        </w:tc>
        <w:tc>
          <w:tcPr>
            <w:tcW w:w="1080" w:type="dxa"/>
          </w:tcPr>
          <w:p w:rsidR="00D04F5B" w:rsidRPr="00621BF1" w:rsidRDefault="00D04F5B" w:rsidP="00D04F5B">
            <w:pPr>
              <w:jc w:val="center"/>
              <w:rPr>
                <w:rFonts w:eastAsia="Times New Roman" w:cs="Arial"/>
                <w:sz w:val="20"/>
                <w:szCs w:val="20"/>
                <w:lang w:eastAsia="en-US"/>
              </w:rPr>
            </w:pPr>
          </w:p>
          <w:p w:rsidR="00D04F5B" w:rsidRPr="00621BF1" w:rsidRDefault="00D04F5B" w:rsidP="00D04F5B">
            <w:pPr>
              <w:jc w:val="center"/>
              <w:rPr>
                <w:rFonts w:eastAsia="Times New Roman" w:cs="Arial"/>
                <w:sz w:val="20"/>
                <w:szCs w:val="20"/>
                <w:lang w:eastAsia="en-US"/>
              </w:rPr>
            </w:pPr>
            <w:r w:rsidRPr="00621BF1">
              <w:rPr>
                <w:rFonts w:eastAsia="Times New Roman" w:cs="Arial"/>
                <w:sz w:val="20"/>
                <w:szCs w:val="20"/>
                <w:lang w:eastAsia="en-US"/>
              </w:rPr>
              <w:t xml:space="preserve">14,500 </w:t>
            </w:r>
            <w:proofErr w:type="spellStart"/>
            <w:r w:rsidRPr="00621BF1">
              <w:rPr>
                <w:rFonts w:cs="Arial"/>
                <w:sz w:val="20"/>
                <w:szCs w:val="20"/>
              </w:rPr>
              <w:t>litr</w:t>
            </w:r>
            <w:proofErr w:type="spellEnd"/>
          </w:p>
        </w:tc>
        <w:tc>
          <w:tcPr>
            <w:tcW w:w="1080" w:type="dxa"/>
          </w:tcPr>
          <w:p w:rsidR="00D04F5B" w:rsidRPr="00621BF1" w:rsidRDefault="00D04F5B" w:rsidP="00D04F5B">
            <w:pPr>
              <w:jc w:val="center"/>
              <w:rPr>
                <w:rFonts w:eastAsia="Times New Roman" w:cs="Arial"/>
                <w:sz w:val="20"/>
                <w:szCs w:val="20"/>
                <w:lang w:eastAsia="en-US"/>
              </w:rPr>
            </w:pPr>
          </w:p>
          <w:p w:rsidR="00D04F5B" w:rsidRPr="00621BF1" w:rsidRDefault="00D04F5B" w:rsidP="00D04F5B">
            <w:pPr>
              <w:jc w:val="center"/>
              <w:rPr>
                <w:rFonts w:eastAsia="Times New Roman" w:cs="Arial"/>
                <w:sz w:val="20"/>
                <w:szCs w:val="20"/>
                <w:lang w:eastAsia="en-US"/>
              </w:rPr>
            </w:pPr>
            <w:r w:rsidRPr="00621BF1">
              <w:rPr>
                <w:rFonts w:eastAsia="Times New Roman" w:cs="Arial"/>
                <w:sz w:val="20"/>
                <w:szCs w:val="20"/>
                <w:lang w:eastAsia="en-US"/>
              </w:rPr>
              <w:t xml:space="preserve">14,500 </w:t>
            </w:r>
            <w:proofErr w:type="spellStart"/>
            <w:r w:rsidRPr="00621BF1">
              <w:rPr>
                <w:rFonts w:cs="Arial"/>
                <w:sz w:val="20"/>
                <w:szCs w:val="20"/>
              </w:rPr>
              <w:t>litr</w:t>
            </w:r>
            <w:proofErr w:type="spellEnd"/>
          </w:p>
        </w:tc>
      </w:tr>
      <w:tr w:rsidR="00D04F5B" w:rsidRPr="00621BF1" w:rsidTr="00AA70AB">
        <w:trPr>
          <w:trHeight w:val="157"/>
        </w:trPr>
        <w:tc>
          <w:tcPr>
            <w:tcW w:w="276" w:type="dxa"/>
          </w:tcPr>
          <w:p w:rsidR="00D04F5B" w:rsidRPr="00621BF1" w:rsidRDefault="00D04F5B" w:rsidP="00D04F5B">
            <w:pPr>
              <w:rPr>
                <w:rFonts w:eastAsia="Times New Roman" w:cs="Times New Roman"/>
                <w:sz w:val="20"/>
              </w:rPr>
            </w:pPr>
            <w:r w:rsidRPr="00621BF1">
              <w:rPr>
                <w:rFonts w:eastAsia="Times New Roman" w:cs="Times New Roman"/>
                <w:sz w:val="20"/>
              </w:rPr>
              <w:t>C</w:t>
            </w:r>
          </w:p>
        </w:tc>
        <w:tc>
          <w:tcPr>
            <w:tcW w:w="1618" w:type="dxa"/>
          </w:tcPr>
          <w:p w:rsidR="00D04F5B" w:rsidRPr="00621BF1" w:rsidRDefault="00D04F5B" w:rsidP="00D04F5B">
            <w:pPr>
              <w:rPr>
                <w:rFonts w:eastAsia="Times New Roman" w:cs="Times New Roman"/>
                <w:sz w:val="20"/>
              </w:rPr>
            </w:pPr>
            <w:r w:rsidRPr="00621BF1">
              <w:rPr>
                <w:rFonts w:eastAsia="Times New Roman" w:cs="Times New Roman"/>
                <w:sz w:val="20"/>
              </w:rPr>
              <w:t xml:space="preserve">Gap </w:t>
            </w:r>
          </w:p>
        </w:tc>
        <w:tc>
          <w:tcPr>
            <w:tcW w:w="1087" w:type="dxa"/>
            <w:vAlign w:val="center"/>
          </w:tcPr>
          <w:p w:rsidR="00D04F5B" w:rsidRPr="00621BF1" w:rsidRDefault="00D04F5B" w:rsidP="00D04F5B">
            <w:pPr>
              <w:jc w:val="center"/>
              <w:rPr>
                <w:rFonts w:eastAsia="Times New Roman" w:cs="Arial"/>
                <w:b/>
                <w:sz w:val="20"/>
                <w:szCs w:val="20"/>
                <w:lang w:eastAsia="en-US"/>
              </w:rPr>
            </w:pPr>
            <w:r w:rsidRPr="00621BF1">
              <w:rPr>
                <w:rFonts w:eastAsia="Times New Roman" w:cs="Arial"/>
                <w:b/>
                <w:color w:val="0070C0"/>
                <w:sz w:val="20"/>
                <w:szCs w:val="20"/>
                <w:lang w:eastAsia="en-US"/>
              </w:rPr>
              <w:t xml:space="preserve">-8118 </w:t>
            </w:r>
            <w:proofErr w:type="spellStart"/>
            <w:r w:rsidRPr="00621BF1">
              <w:rPr>
                <w:rFonts w:cs="Arial"/>
                <w:b/>
                <w:color w:val="0070C0"/>
                <w:sz w:val="20"/>
                <w:szCs w:val="20"/>
              </w:rPr>
              <w:t>litr</w:t>
            </w:r>
            <w:proofErr w:type="spellEnd"/>
          </w:p>
        </w:tc>
        <w:tc>
          <w:tcPr>
            <w:tcW w:w="1080" w:type="dxa"/>
            <w:vAlign w:val="center"/>
          </w:tcPr>
          <w:p w:rsidR="00D04F5B" w:rsidRPr="00621BF1" w:rsidRDefault="00D04F5B" w:rsidP="00D04F5B">
            <w:pPr>
              <w:jc w:val="center"/>
              <w:rPr>
                <w:rFonts w:eastAsia="Times New Roman" w:cs="Arial"/>
                <w:b/>
                <w:color w:val="0070C0"/>
                <w:sz w:val="20"/>
                <w:szCs w:val="20"/>
                <w:lang w:eastAsia="en-US"/>
              </w:rPr>
            </w:pPr>
            <w:r w:rsidRPr="00621BF1">
              <w:rPr>
                <w:rFonts w:eastAsia="Times New Roman" w:cs="Arial"/>
                <w:b/>
                <w:color w:val="0070C0"/>
                <w:sz w:val="20"/>
                <w:szCs w:val="20"/>
                <w:lang w:eastAsia="en-US"/>
              </w:rPr>
              <w:t xml:space="preserve">-1958 </w:t>
            </w:r>
            <w:proofErr w:type="spellStart"/>
            <w:r w:rsidRPr="00621BF1">
              <w:rPr>
                <w:rFonts w:eastAsia="Times New Roman" w:cs="Arial"/>
                <w:b/>
                <w:color w:val="0070C0"/>
                <w:sz w:val="20"/>
                <w:szCs w:val="20"/>
                <w:lang w:eastAsia="en-US"/>
              </w:rPr>
              <w:t>litr</w:t>
            </w:r>
            <w:proofErr w:type="spellEnd"/>
          </w:p>
        </w:tc>
        <w:tc>
          <w:tcPr>
            <w:tcW w:w="1080" w:type="dxa"/>
            <w:vAlign w:val="center"/>
          </w:tcPr>
          <w:p w:rsidR="00D04F5B" w:rsidRPr="00621BF1" w:rsidRDefault="00D04F5B" w:rsidP="00D04F5B">
            <w:pPr>
              <w:jc w:val="center"/>
              <w:rPr>
                <w:rFonts w:eastAsia="Times New Roman" w:cs="Arial"/>
                <w:b/>
                <w:color w:val="ED7D31" w:themeColor="accent2"/>
                <w:sz w:val="20"/>
                <w:szCs w:val="20"/>
                <w:lang w:eastAsia="en-US"/>
              </w:rPr>
            </w:pPr>
            <w:r w:rsidRPr="00621BF1">
              <w:rPr>
                <w:rFonts w:eastAsia="Times New Roman" w:cs="Arial"/>
                <w:b/>
                <w:color w:val="ED7D31" w:themeColor="accent2"/>
                <w:sz w:val="20"/>
                <w:szCs w:val="20"/>
                <w:lang w:eastAsia="en-US"/>
              </w:rPr>
              <w:t>17,095</w:t>
            </w:r>
            <w:r w:rsidRPr="00621BF1">
              <w:rPr>
                <w:rFonts w:cs="Arial"/>
                <w:b/>
                <w:color w:val="ED7D31" w:themeColor="accent2"/>
                <w:sz w:val="20"/>
                <w:szCs w:val="20"/>
              </w:rPr>
              <w:t xml:space="preserve"> </w:t>
            </w:r>
            <w:proofErr w:type="spellStart"/>
            <w:r w:rsidRPr="00621BF1">
              <w:rPr>
                <w:rFonts w:cs="Arial"/>
                <w:b/>
                <w:color w:val="ED7D31" w:themeColor="accent2"/>
                <w:sz w:val="20"/>
                <w:szCs w:val="20"/>
              </w:rPr>
              <w:t>litr</w:t>
            </w:r>
            <w:proofErr w:type="spellEnd"/>
          </w:p>
        </w:tc>
        <w:tc>
          <w:tcPr>
            <w:tcW w:w="1080" w:type="dxa"/>
            <w:vAlign w:val="center"/>
          </w:tcPr>
          <w:p w:rsidR="00D04F5B" w:rsidRPr="00621BF1" w:rsidRDefault="00D04F5B" w:rsidP="00D04F5B">
            <w:pPr>
              <w:jc w:val="center"/>
              <w:rPr>
                <w:rFonts w:eastAsia="Times New Roman" w:cs="Arial"/>
                <w:b/>
                <w:color w:val="ED7D31" w:themeColor="accent2"/>
                <w:sz w:val="20"/>
                <w:szCs w:val="20"/>
                <w:lang w:eastAsia="en-US"/>
              </w:rPr>
            </w:pPr>
            <w:r w:rsidRPr="00621BF1">
              <w:rPr>
                <w:rFonts w:eastAsia="Times New Roman" w:cs="Arial"/>
                <w:b/>
                <w:color w:val="ED7D31" w:themeColor="accent2"/>
                <w:sz w:val="20"/>
                <w:szCs w:val="20"/>
                <w:lang w:eastAsia="en-US"/>
              </w:rPr>
              <w:t>20,117</w:t>
            </w:r>
            <w:r w:rsidRPr="00621BF1">
              <w:rPr>
                <w:rFonts w:cs="Arial"/>
                <w:b/>
                <w:color w:val="ED7D31" w:themeColor="accent2"/>
                <w:sz w:val="20"/>
                <w:szCs w:val="20"/>
              </w:rPr>
              <w:t xml:space="preserve"> </w:t>
            </w:r>
            <w:proofErr w:type="spellStart"/>
            <w:r w:rsidRPr="00621BF1">
              <w:rPr>
                <w:rFonts w:cs="Arial"/>
                <w:b/>
                <w:color w:val="ED7D31" w:themeColor="accent2"/>
                <w:sz w:val="20"/>
                <w:szCs w:val="20"/>
              </w:rPr>
              <w:t>litr</w:t>
            </w:r>
            <w:proofErr w:type="spellEnd"/>
          </w:p>
        </w:tc>
        <w:tc>
          <w:tcPr>
            <w:tcW w:w="1080" w:type="dxa"/>
            <w:vAlign w:val="center"/>
          </w:tcPr>
          <w:p w:rsidR="00D04F5B" w:rsidRPr="00621BF1" w:rsidRDefault="00D04F5B" w:rsidP="00D04F5B">
            <w:pPr>
              <w:jc w:val="center"/>
              <w:rPr>
                <w:rFonts w:eastAsia="Times New Roman" w:cs="Arial"/>
                <w:b/>
                <w:color w:val="ED7D31" w:themeColor="accent2"/>
                <w:sz w:val="20"/>
                <w:szCs w:val="20"/>
                <w:lang w:eastAsia="en-US"/>
              </w:rPr>
            </w:pPr>
            <w:r w:rsidRPr="00621BF1">
              <w:rPr>
                <w:rFonts w:eastAsia="Times New Roman" w:cs="Arial"/>
                <w:b/>
                <w:color w:val="ED7D31" w:themeColor="accent2"/>
                <w:sz w:val="20"/>
                <w:szCs w:val="20"/>
                <w:lang w:eastAsia="en-US"/>
              </w:rPr>
              <w:t>22,516</w:t>
            </w:r>
            <w:r w:rsidRPr="00621BF1">
              <w:rPr>
                <w:rFonts w:cs="Arial"/>
                <w:b/>
                <w:color w:val="ED7D31" w:themeColor="accent2"/>
                <w:sz w:val="20"/>
                <w:szCs w:val="20"/>
              </w:rPr>
              <w:t xml:space="preserve"> </w:t>
            </w:r>
            <w:proofErr w:type="spellStart"/>
            <w:r w:rsidRPr="00621BF1">
              <w:rPr>
                <w:rFonts w:cs="Arial"/>
                <w:b/>
                <w:color w:val="ED7D31" w:themeColor="accent2"/>
                <w:sz w:val="20"/>
                <w:szCs w:val="20"/>
              </w:rPr>
              <w:t>litr</w:t>
            </w:r>
            <w:proofErr w:type="spellEnd"/>
          </w:p>
        </w:tc>
        <w:tc>
          <w:tcPr>
            <w:tcW w:w="1080" w:type="dxa"/>
          </w:tcPr>
          <w:p w:rsidR="00D04F5B" w:rsidRPr="00621BF1" w:rsidRDefault="00D04F5B" w:rsidP="00D04F5B">
            <w:pPr>
              <w:jc w:val="center"/>
              <w:rPr>
                <w:rFonts w:eastAsia="Times New Roman" w:cs="Arial"/>
                <w:b/>
                <w:color w:val="ED7D31" w:themeColor="accent2"/>
                <w:sz w:val="20"/>
                <w:szCs w:val="20"/>
                <w:lang w:eastAsia="en-US"/>
              </w:rPr>
            </w:pPr>
            <w:r w:rsidRPr="00621BF1">
              <w:rPr>
                <w:rFonts w:eastAsia="Times New Roman" w:cs="Arial"/>
                <w:b/>
                <w:color w:val="ED7D31" w:themeColor="accent2"/>
                <w:sz w:val="20"/>
                <w:szCs w:val="20"/>
                <w:lang w:eastAsia="en-US"/>
              </w:rPr>
              <w:t>30,573</w:t>
            </w:r>
            <w:r w:rsidRPr="00621BF1">
              <w:rPr>
                <w:rFonts w:cs="Arial"/>
                <w:b/>
                <w:color w:val="ED7D31" w:themeColor="accent2"/>
                <w:sz w:val="20"/>
                <w:szCs w:val="20"/>
              </w:rPr>
              <w:t xml:space="preserve"> </w:t>
            </w:r>
            <w:proofErr w:type="spellStart"/>
            <w:r w:rsidRPr="00621BF1">
              <w:rPr>
                <w:rFonts w:cs="Arial"/>
                <w:b/>
                <w:color w:val="ED7D31" w:themeColor="accent2"/>
                <w:sz w:val="20"/>
                <w:szCs w:val="20"/>
              </w:rPr>
              <w:t>litr</w:t>
            </w:r>
            <w:proofErr w:type="spellEnd"/>
          </w:p>
        </w:tc>
      </w:tr>
    </w:tbl>
    <w:p w:rsidR="00D04F5B" w:rsidRPr="00621BF1" w:rsidRDefault="00D04F5B" w:rsidP="00D04F5B">
      <w:pPr>
        <w:spacing w:after="0" w:line="240" w:lineRule="auto"/>
        <w:rPr>
          <w:rFonts w:eastAsia="Times New Roman" w:cs="Times New Roman"/>
        </w:rPr>
      </w:pPr>
    </w:p>
    <w:p w:rsidR="00D04F5B" w:rsidRPr="00621BF1" w:rsidRDefault="00D04F5B" w:rsidP="00D04F5B">
      <w:pPr>
        <w:spacing w:after="0" w:line="240" w:lineRule="auto"/>
        <w:rPr>
          <w:rFonts w:eastAsia="Times New Roman" w:cs="Times New Roman"/>
        </w:rPr>
      </w:pPr>
      <w:r w:rsidRPr="00621BF1">
        <w:rPr>
          <w:rFonts w:cs="Arial"/>
          <w:b/>
          <w:i/>
          <w:sz w:val="20"/>
          <w:szCs w:val="20"/>
        </w:rPr>
        <w:t xml:space="preserve">                               </w:t>
      </w:r>
      <w:r w:rsidRPr="00621BF1">
        <w:rPr>
          <w:rFonts w:eastAsia="Times New Roman" w:cs="Times New Roman"/>
        </w:rPr>
        <w:t xml:space="preserve">  </w:t>
      </w:r>
    </w:p>
    <w:p w:rsidR="00D04F5B" w:rsidRPr="00621BF1" w:rsidRDefault="00D04F5B" w:rsidP="00D04F5B">
      <w:pPr>
        <w:spacing w:after="0" w:line="240" w:lineRule="auto"/>
        <w:jc w:val="center"/>
        <w:rPr>
          <w:rFonts w:eastAsia="Times New Roman" w:cs="Times New Roman"/>
        </w:rPr>
      </w:pPr>
      <w:r w:rsidRPr="00621BF1">
        <w:rPr>
          <w:rFonts w:eastAsia="Times New Roman" w:cs="Times New Roman"/>
          <w:noProof/>
          <w:lang w:eastAsia="fr-FR"/>
        </w:rPr>
        <w:drawing>
          <wp:inline distT="0" distB="0" distL="0" distR="0">
            <wp:extent cx="3692106" cy="2436161"/>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7673" cy="2439834"/>
                    </a:xfrm>
                    <a:prstGeom prst="rect">
                      <a:avLst/>
                    </a:prstGeom>
                    <a:noFill/>
                  </pic:spPr>
                </pic:pic>
              </a:graphicData>
            </a:graphic>
          </wp:inline>
        </w:drawing>
      </w:r>
    </w:p>
    <w:p w:rsidR="00D04F5B" w:rsidRPr="00621BF1" w:rsidRDefault="00D04F5B" w:rsidP="00D04F5B">
      <w:pPr>
        <w:pStyle w:val="Lgende"/>
        <w:jc w:val="center"/>
        <w:rPr>
          <w:rFonts w:cs="Times New Roman"/>
        </w:rPr>
      </w:pPr>
      <w:bookmarkStart w:id="86" w:name="_Toc456109502"/>
      <w:r w:rsidRPr="00621BF1">
        <w:t xml:space="preserve">Figure </w:t>
      </w:r>
      <w:r w:rsidR="00B51B2E" w:rsidRPr="00621BF1">
        <w:fldChar w:fldCharType="begin"/>
      </w:r>
      <w:r w:rsidRPr="00621BF1">
        <w:instrText xml:space="preserve"> SEQ Figure \* ARABIC </w:instrText>
      </w:r>
      <w:r w:rsidR="00B51B2E" w:rsidRPr="00621BF1">
        <w:fldChar w:fldCharType="separate"/>
      </w:r>
      <w:r w:rsidR="00DC4EEF">
        <w:rPr>
          <w:noProof/>
        </w:rPr>
        <w:t>5</w:t>
      </w:r>
      <w:r w:rsidR="00B51B2E" w:rsidRPr="00621BF1">
        <w:fldChar w:fldCharType="end"/>
      </w:r>
      <w:r w:rsidRPr="00621BF1">
        <w:t>: Analyse capacité de stockage positive du niveau central jusqu’en 2021</w:t>
      </w:r>
      <w:bookmarkEnd w:id="86"/>
    </w:p>
    <w:p w:rsidR="00D04F5B" w:rsidRPr="00621BF1" w:rsidRDefault="00D04F5B" w:rsidP="00D04F5B">
      <w:pPr>
        <w:keepLines/>
        <w:tabs>
          <w:tab w:val="left" w:pos="426"/>
        </w:tabs>
        <w:spacing w:before="120" w:after="0" w:line="240" w:lineRule="auto"/>
        <w:jc w:val="both"/>
        <w:rPr>
          <w:rFonts w:eastAsia="Times New Roman" w:cs="Times New Roman"/>
        </w:rPr>
      </w:pPr>
      <w:r w:rsidRPr="00621BF1">
        <w:rPr>
          <w:rFonts w:eastAsia="Times New Roman" w:cs="Times New Roman"/>
        </w:rPr>
        <w:t xml:space="preserve">Les données du Tableau 4 et du Graphique 13 ci-dessus montrent que les capacités actuelles des chambres froides positives sont suffisantes pour le stockage  des vaccins du PEV de routine en 2016 et 2017 même avec l’introduction du PCV13. </w:t>
      </w:r>
    </w:p>
    <w:p w:rsidR="00D04F5B" w:rsidRPr="00621BF1" w:rsidRDefault="00D04F5B" w:rsidP="00D04F5B">
      <w:pPr>
        <w:keepLines/>
        <w:tabs>
          <w:tab w:val="left" w:pos="426"/>
        </w:tabs>
        <w:spacing w:before="120" w:after="0" w:line="240" w:lineRule="auto"/>
        <w:jc w:val="both"/>
        <w:rPr>
          <w:rFonts w:eastAsia="Times New Roman" w:cs="Times New Roman"/>
        </w:rPr>
      </w:pPr>
      <w:r w:rsidRPr="00621BF1">
        <w:rPr>
          <w:rFonts w:eastAsia="Times New Roman" w:cs="Times New Roman"/>
        </w:rPr>
        <w:t xml:space="preserve">Cependant, les 2 chambres froides de 10m3 et 15m3 ne répondant plus aux normes recommandées par l’OMS doivent être retirées. Quatre groupes frigorifiques sont en commande pour le remplacement des unités frigorifiques des 2 chambres froides de 30m3 et celles de la chambre froide négative. </w:t>
      </w:r>
    </w:p>
    <w:p w:rsidR="00D04F5B" w:rsidRPr="00621BF1" w:rsidRDefault="00D04F5B" w:rsidP="00D04F5B">
      <w:pPr>
        <w:keepLines/>
        <w:tabs>
          <w:tab w:val="left" w:pos="426"/>
        </w:tabs>
        <w:spacing w:before="120" w:after="0" w:line="240" w:lineRule="auto"/>
        <w:jc w:val="both"/>
        <w:rPr>
          <w:rFonts w:eastAsia="Times New Roman" w:cs="Times New Roman"/>
        </w:rPr>
      </w:pPr>
      <w:r w:rsidRPr="00621BF1">
        <w:rPr>
          <w:rFonts w:eastAsia="Times New Roman" w:cs="Times New Roman"/>
        </w:rPr>
        <w:t xml:space="preserve">Le niveau central </w:t>
      </w:r>
      <w:proofErr w:type="gramStart"/>
      <w:r w:rsidRPr="00621BF1">
        <w:rPr>
          <w:rFonts w:eastAsia="Times New Roman" w:cs="Times New Roman"/>
        </w:rPr>
        <w:t>dispose</w:t>
      </w:r>
      <w:proofErr w:type="gramEnd"/>
      <w:r w:rsidRPr="00621BF1">
        <w:rPr>
          <w:rFonts w:eastAsia="Times New Roman" w:cs="Times New Roman"/>
        </w:rPr>
        <w:t xml:space="preserve"> également de 15 réfrigérateurs TCW 1152 (d’une capacité totale de 2535 litres) qu’il faudra redéployer dans les districts ou l’électricité est disponible au moins 8 heures par jour.    </w:t>
      </w:r>
    </w:p>
    <w:p w:rsidR="00D04F5B" w:rsidRPr="00621BF1" w:rsidRDefault="00D04F5B" w:rsidP="00D04F5B">
      <w:pPr>
        <w:keepLines/>
        <w:tabs>
          <w:tab w:val="left" w:pos="426"/>
        </w:tabs>
        <w:spacing w:before="120" w:after="0"/>
        <w:jc w:val="both"/>
        <w:rPr>
          <w:rFonts w:eastAsia="Times New Roman" w:cs="Times New Roman"/>
        </w:rPr>
      </w:pPr>
      <w:r w:rsidRPr="00621BF1">
        <w:rPr>
          <w:rFonts w:eastAsia="Times New Roman" w:cs="Times New Roman"/>
        </w:rPr>
        <w:t xml:space="preserve">A partir de 2018, avec l’introduction des vaccins Rota, Men A, RR, et HPV), on note un déficit en capacités nettes requises. Le pays envisage également l’introduction du vaccin Ebola à partir de 2017 si disponible. </w:t>
      </w:r>
    </w:p>
    <w:p w:rsidR="00D04F5B" w:rsidRPr="00621BF1" w:rsidRDefault="00D04F5B" w:rsidP="00D04F5B">
      <w:pPr>
        <w:keepLines/>
        <w:tabs>
          <w:tab w:val="left" w:pos="426"/>
        </w:tabs>
        <w:spacing w:before="120" w:after="0"/>
        <w:jc w:val="both"/>
        <w:rPr>
          <w:rFonts w:eastAsia="Times New Roman" w:cs="Times New Roman"/>
        </w:rPr>
      </w:pPr>
      <w:r w:rsidRPr="00621BF1">
        <w:rPr>
          <w:rFonts w:eastAsia="Times New Roman" w:cs="Times New Roman"/>
        </w:rPr>
        <w:t xml:space="preserve">En ce qui concerne la capacité de stockage en négatif servant pour le stockage du vaccin polio, elle est suffisante pour couvrir les besoins jusqu’en 2021. </w:t>
      </w:r>
    </w:p>
    <w:p w:rsidR="00D04F5B" w:rsidRPr="00621BF1" w:rsidRDefault="00D41D0C" w:rsidP="00D41D0C">
      <w:pPr>
        <w:pStyle w:val="Lgende"/>
      </w:pPr>
      <w:r w:rsidRPr="00621BF1">
        <w:rPr>
          <w:b/>
          <w:bCs/>
          <w:iCs/>
          <w:sz w:val="20"/>
        </w:rPr>
        <w:t xml:space="preserve">                 </w:t>
      </w:r>
      <w:bookmarkStart w:id="87" w:name="_Toc456109478"/>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12</w:t>
      </w:r>
      <w:r w:rsidR="00B51B2E" w:rsidRPr="00621BF1">
        <w:fldChar w:fldCharType="end"/>
      </w:r>
      <w:r w:rsidRPr="00621BF1">
        <w:t>: Capacité de stockage requise en négatif au niveau central (litres)</w:t>
      </w:r>
      <w:bookmarkEnd w:id="87"/>
    </w:p>
    <w:tbl>
      <w:tblPr>
        <w:tblStyle w:val="Grilledutableau"/>
        <w:tblW w:w="0" w:type="auto"/>
        <w:tblLook w:val="04A0" w:firstRow="1" w:lastRow="0" w:firstColumn="1" w:lastColumn="0" w:noHBand="0" w:noVBand="1"/>
      </w:tblPr>
      <w:tblGrid>
        <w:gridCol w:w="1258"/>
        <w:gridCol w:w="1617"/>
        <w:gridCol w:w="900"/>
        <w:gridCol w:w="1259"/>
        <w:gridCol w:w="1259"/>
        <w:gridCol w:w="1259"/>
        <w:gridCol w:w="1259"/>
        <w:gridCol w:w="1259"/>
      </w:tblGrid>
      <w:tr w:rsidR="00D41D0C" w:rsidRPr="00621BF1" w:rsidTr="00D41D0C">
        <w:tc>
          <w:tcPr>
            <w:tcW w:w="1258" w:type="dxa"/>
            <w:tcBorders>
              <w:top w:val="nil"/>
              <w:left w:val="nil"/>
              <w:bottom w:val="nil"/>
              <w:right w:val="nil"/>
            </w:tcBorders>
          </w:tcPr>
          <w:p w:rsidR="00D41D0C" w:rsidRPr="00621BF1" w:rsidRDefault="00D41D0C" w:rsidP="00D04F5B">
            <w:pPr>
              <w:keepLines/>
              <w:tabs>
                <w:tab w:val="left" w:pos="426"/>
              </w:tabs>
              <w:spacing w:after="0"/>
              <w:jc w:val="both"/>
              <w:rPr>
                <w:rFonts w:cs="Arial"/>
                <w:color w:val="000000" w:themeColor="text1"/>
                <w:lang w:val="fr-FR"/>
              </w:rPr>
            </w:pPr>
          </w:p>
        </w:tc>
        <w:tc>
          <w:tcPr>
            <w:tcW w:w="1617" w:type="dxa"/>
            <w:tcBorders>
              <w:top w:val="nil"/>
              <w:left w:val="nil"/>
              <w:bottom w:val="nil"/>
            </w:tcBorders>
          </w:tcPr>
          <w:p w:rsidR="00D41D0C" w:rsidRPr="00621BF1" w:rsidRDefault="00D41D0C" w:rsidP="00D04F5B">
            <w:pPr>
              <w:keepLines/>
              <w:tabs>
                <w:tab w:val="left" w:pos="426"/>
              </w:tabs>
              <w:spacing w:after="0"/>
              <w:jc w:val="both"/>
              <w:rPr>
                <w:rFonts w:cs="Arial"/>
                <w:color w:val="000000" w:themeColor="text1"/>
                <w:lang w:val="fr-FR"/>
              </w:rPr>
            </w:pPr>
          </w:p>
        </w:tc>
        <w:tc>
          <w:tcPr>
            <w:tcW w:w="7195" w:type="dxa"/>
            <w:gridSpan w:val="6"/>
            <w:shd w:val="clear" w:color="auto" w:fill="C45911" w:themeFill="accent2" w:themeFillShade="BF"/>
          </w:tcPr>
          <w:p w:rsidR="00D41D0C" w:rsidRPr="00621BF1" w:rsidRDefault="00D41D0C" w:rsidP="00D41D0C">
            <w:pPr>
              <w:keepLines/>
              <w:tabs>
                <w:tab w:val="left" w:pos="426"/>
              </w:tabs>
              <w:spacing w:after="0"/>
              <w:jc w:val="center"/>
              <w:rPr>
                <w:rFonts w:cs="Arial"/>
                <w:b/>
                <w:color w:val="FFFFFF" w:themeColor="background1"/>
              </w:rPr>
            </w:pPr>
            <w:proofErr w:type="spellStart"/>
            <w:r w:rsidRPr="00621BF1">
              <w:rPr>
                <w:rFonts w:cs="Arial"/>
                <w:b/>
                <w:color w:val="FFFFFF" w:themeColor="background1"/>
              </w:rPr>
              <w:t>Annees</w:t>
            </w:r>
            <w:proofErr w:type="spellEnd"/>
          </w:p>
        </w:tc>
      </w:tr>
      <w:tr w:rsidR="00D41D0C" w:rsidRPr="00621BF1" w:rsidTr="00D41D0C">
        <w:tc>
          <w:tcPr>
            <w:tcW w:w="1258" w:type="dxa"/>
            <w:tcBorders>
              <w:top w:val="nil"/>
              <w:left w:val="nil"/>
              <w:right w:val="nil"/>
            </w:tcBorders>
          </w:tcPr>
          <w:p w:rsidR="00D41D0C" w:rsidRPr="00621BF1" w:rsidRDefault="00D41D0C" w:rsidP="00D41D0C">
            <w:pPr>
              <w:keepLines/>
              <w:tabs>
                <w:tab w:val="left" w:pos="426"/>
              </w:tabs>
              <w:spacing w:after="0"/>
              <w:jc w:val="both"/>
              <w:rPr>
                <w:rFonts w:cs="Arial"/>
                <w:color w:val="000000" w:themeColor="text1"/>
              </w:rPr>
            </w:pPr>
          </w:p>
        </w:tc>
        <w:tc>
          <w:tcPr>
            <w:tcW w:w="1617" w:type="dxa"/>
            <w:tcBorders>
              <w:top w:val="nil"/>
              <w:left w:val="nil"/>
            </w:tcBorders>
          </w:tcPr>
          <w:p w:rsidR="00D41D0C" w:rsidRPr="00621BF1" w:rsidRDefault="00D41D0C" w:rsidP="00D41D0C">
            <w:pPr>
              <w:keepLines/>
              <w:tabs>
                <w:tab w:val="left" w:pos="426"/>
              </w:tabs>
              <w:spacing w:after="0"/>
              <w:jc w:val="both"/>
              <w:rPr>
                <w:rFonts w:cs="Arial"/>
                <w:color w:val="000000" w:themeColor="text1"/>
              </w:rPr>
            </w:pPr>
          </w:p>
        </w:tc>
        <w:tc>
          <w:tcPr>
            <w:tcW w:w="900" w:type="dxa"/>
            <w:shd w:val="clear" w:color="auto" w:fill="C45911" w:themeFill="accent2" w:themeFillShade="BF"/>
          </w:tcPr>
          <w:p w:rsidR="00D41D0C" w:rsidRPr="00621BF1" w:rsidRDefault="00D41D0C" w:rsidP="00D41D0C">
            <w:pPr>
              <w:jc w:val="center"/>
              <w:rPr>
                <w:rFonts w:eastAsia="Times New Roman" w:cs="Times New Roman"/>
                <w:b/>
                <w:color w:val="FFFFFF" w:themeColor="background1"/>
                <w:sz w:val="18"/>
              </w:rPr>
            </w:pPr>
            <w:r w:rsidRPr="00621BF1">
              <w:rPr>
                <w:rFonts w:eastAsia="Times New Roman" w:cs="Times New Roman"/>
                <w:b/>
                <w:color w:val="FFFFFF" w:themeColor="background1"/>
                <w:sz w:val="18"/>
              </w:rPr>
              <w:t>2016</w:t>
            </w:r>
          </w:p>
        </w:tc>
        <w:tc>
          <w:tcPr>
            <w:tcW w:w="1259" w:type="dxa"/>
            <w:shd w:val="clear" w:color="auto" w:fill="C45911" w:themeFill="accent2" w:themeFillShade="BF"/>
          </w:tcPr>
          <w:p w:rsidR="00D41D0C" w:rsidRPr="00621BF1" w:rsidRDefault="00D41D0C" w:rsidP="00D41D0C">
            <w:pPr>
              <w:jc w:val="center"/>
              <w:rPr>
                <w:rFonts w:eastAsia="Times New Roman" w:cs="Times New Roman"/>
                <w:b/>
                <w:color w:val="FFFFFF" w:themeColor="background1"/>
                <w:sz w:val="18"/>
              </w:rPr>
            </w:pPr>
            <w:r w:rsidRPr="00621BF1">
              <w:rPr>
                <w:rFonts w:eastAsia="Times New Roman" w:cs="Times New Roman"/>
                <w:b/>
                <w:color w:val="FFFFFF" w:themeColor="background1"/>
                <w:sz w:val="18"/>
              </w:rPr>
              <w:t>2017</w:t>
            </w:r>
          </w:p>
        </w:tc>
        <w:tc>
          <w:tcPr>
            <w:tcW w:w="1259" w:type="dxa"/>
            <w:shd w:val="clear" w:color="auto" w:fill="C45911" w:themeFill="accent2" w:themeFillShade="BF"/>
          </w:tcPr>
          <w:p w:rsidR="00D41D0C" w:rsidRPr="00621BF1" w:rsidRDefault="00D41D0C" w:rsidP="00D41D0C">
            <w:pPr>
              <w:jc w:val="center"/>
              <w:rPr>
                <w:rFonts w:eastAsia="Times New Roman" w:cs="Times New Roman"/>
                <w:b/>
                <w:color w:val="FFFFFF" w:themeColor="background1"/>
                <w:sz w:val="18"/>
              </w:rPr>
            </w:pPr>
            <w:r w:rsidRPr="00621BF1">
              <w:rPr>
                <w:rFonts w:eastAsia="Times New Roman" w:cs="Times New Roman"/>
                <w:b/>
                <w:color w:val="FFFFFF" w:themeColor="background1"/>
                <w:sz w:val="18"/>
              </w:rPr>
              <w:t>2018</w:t>
            </w:r>
          </w:p>
        </w:tc>
        <w:tc>
          <w:tcPr>
            <w:tcW w:w="1259" w:type="dxa"/>
            <w:shd w:val="clear" w:color="auto" w:fill="C45911" w:themeFill="accent2" w:themeFillShade="BF"/>
          </w:tcPr>
          <w:p w:rsidR="00D41D0C" w:rsidRPr="00621BF1" w:rsidRDefault="00D41D0C" w:rsidP="00D41D0C">
            <w:pPr>
              <w:jc w:val="center"/>
              <w:rPr>
                <w:rFonts w:eastAsia="Times New Roman" w:cs="Times New Roman"/>
                <w:b/>
                <w:color w:val="FFFFFF" w:themeColor="background1"/>
                <w:sz w:val="18"/>
              </w:rPr>
            </w:pPr>
            <w:r w:rsidRPr="00621BF1">
              <w:rPr>
                <w:rFonts w:eastAsia="Times New Roman" w:cs="Times New Roman"/>
                <w:b/>
                <w:color w:val="FFFFFF" w:themeColor="background1"/>
                <w:sz w:val="18"/>
              </w:rPr>
              <w:t>2019</w:t>
            </w:r>
          </w:p>
        </w:tc>
        <w:tc>
          <w:tcPr>
            <w:tcW w:w="1259" w:type="dxa"/>
            <w:shd w:val="clear" w:color="auto" w:fill="C45911" w:themeFill="accent2" w:themeFillShade="BF"/>
          </w:tcPr>
          <w:p w:rsidR="00D41D0C" w:rsidRPr="00621BF1" w:rsidRDefault="00D41D0C" w:rsidP="00D41D0C">
            <w:pPr>
              <w:jc w:val="center"/>
              <w:rPr>
                <w:rFonts w:eastAsia="Times New Roman" w:cs="Times New Roman"/>
                <w:b/>
                <w:color w:val="FFFFFF" w:themeColor="background1"/>
                <w:sz w:val="18"/>
              </w:rPr>
            </w:pPr>
            <w:r w:rsidRPr="00621BF1">
              <w:rPr>
                <w:rFonts w:eastAsia="Times New Roman" w:cs="Times New Roman"/>
                <w:b/>
                <w:color w:val="FFFFFF" w:themeColor="background1"/>
                <w:sz w:val="18"/>
              </w:rPr>
              <w:t>2020</w:t>
            </w:r>
          </w:p>
        </w:tc>
        <w:tc>
          <w:tcPr>
            <w:tcW w:w="1259" w:type="dxa"/>
            <w:shd w:val="clear" w:color="auto" w:fill="C45911" w:themeFill="accent2" w:themeFillShade="BF"/>
          </w:tcPr>
          <w:p w:rsidR="00D41D0C" w:rsidRPr="00621BF1" w:rsidRDefault="00D41D0C" w:rsidP="00D41D0C">
            <w:pPr>
              <w:jc w:val="center"/>
              <w:rPr>
                <w:rFonts w:eastAsia="Times New Roman" w:cs="Times New Roman"/>
                <w:b/>
                <w:color w:val="FFFFFF" w:themeColor="background1"/>
                <w:sz w:val="18"/>
              </w:rPr>
            </w:pPr>
            <w:r w:rsidRPr="00621BF1">
              <w:rPr>
                <w:rFonts w:eastAsia="Times New Roman" w:cs="Times New Roman"/>
                <w:b/>
                <w:color w:val="FFFFFF" w:themeColor="background1"/>
                <w:sz w:val="18"/>
              </w:rPr>
              <w:t>2021</w:t>
            </w:r>
          </w:p>
        </w:tc>
      </w:tr>
      <w:tr w:rsidR="00D41D0C" w:rsidRPr="00621BF1" w:rsidTr="00D41D0C">
        <w:tc>
          <w:tcPr>
            <w:tcW w:w="1258" w:type="dxa"/>
          </w:tcPr>
          <w:p w:rsidR="00D41D0C" w:rsidRPr="00621BF1" w:rsidRDefault="00D41D0C" w:rsidP="00D41D0C">
            <w:pPr>
              <w:rPr>
                <w:rFonts w:eastAsia="Times New Roman" w:cs="Times New Roman"/>
                <w:sz w:val="18"/>
              </w:rPr>
            </w:pPr>
            <w:r w:rsidRPr="00621BF1">
              <w:rPr>
                <w:rFonts w:eastAsia="Times New Roman" w:cs="Times New Roman"/>
                <w:sz w:val="18"/>
              </w:rPr>
              <w:lastRenderedPageBreak/>
              <w:t>A</w:t>
            </w:r>
          </w:p>
        </w:tc>
        <w:tc>
          <w:tcPr>
            <w:tcW w:w="1617" w:type="dxa"/>
          </w:tcPr>
          <w:p w:rsidR="00D41D0C" w:rsidRPr="00621BF1" w:rsidRDefault="00D41D0C" w:rsidP="00D41D0C">
            <w:pPr>
              <w:rPr>
                <w:rFonts w:eastAsia="Times New Roman" w:cs="Times New Roman"/>
                <w:sz w:val="18"/>
                <w:lang w:val="fr-FR"/>
              </w:rPr>
            </w:pPr>
            <w:r w:rsidRPr="00621BF1">
              <w:rPr>
                <w:rFonts w:eastAsia="Times New Roman" w:cs="Times New Roman"/>
                <w:sz w:val="18"/>
                <w:lang w:val="fr-FR"/>
              </w:rPr>
              <w:t>Volume total des vaccins en stockage positif</w:t>
            </w:r>
          </w:p>
        </w:tc>
        <w:tc>
          <w:tcPr>
            <w:tcW w:w="900" w:type="dxa"/>
          </w:tcPr>
          <w:p w:rsidR="00D41D0C" w:rsidRPr="00621BF1" w:rsidRDefault="00D41D0C" w:rsidP="00D41D0C">
            <w:pPr>
              <w:jc w:val="center"/>
              <w:rPr>
                <w:rFonts w:eastAsia="Times New Roman" w:cs="Arial"/>
                <w:sz w:val="18"/>
                <w:szCs w:val="20"/>
                <w:lang w:val="fr-FR" w:eastAsia="en-US"/>
              </w:rPr>
            </w:pPr>
          </w:p>
          <w:p w:rsidR="00D41D0C" w:rsidRPr="00621BF1" w:rsidRDefault="00D41D0C" w:rsidP="00D41D0C">
            <w:pPr>
              <w:jc w:val="center"/>
              <w:rPr>
                <w:rFonts w:eastAsia="Times New Roman" w:cs="Arial"/>
                <w:sz w:val="18"/>
                <w:szCs w:val="20"/>
                <w:lang w:val="fr-FR" w:eastAsia="en-US"/>
              </w:rPr>
            </w:pPr>
          </w:p>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2139 </w:t>
            </w:r>
            <w:proofErr w:type="spellStart"/>
            <w:r w:rsidRPr="00621BF1">
              <w:rPr>
                <w:rFonts w:eastAsia="Times New Roman" w:cs="Arial"/>
                <w:sz w:val="18"/>
                <w:szCs w:val="20"/>
                <w:lang w:eastAsia="en-US"/>
              </w:rPr>
              <w:t>litr</w:t>
            </w:r>
            <w:proofErr w:type="spellEnd"/>
          </w:p>
        </w:tc>
        <w:tc>
          <w:tcPr>
            <w:tcW w:w="1259" w:type="dxa"/>
          </w:tcPr>
          <w:p w:rsidR="00D41D0C" w:rsidRPr="00621BF1" w:rsidRDefault="00D41D0C" w:rsidP="00D41D0C">
            <w:pPr>
              <w:jc w:val="center"/>
              <w:rPr>
                <w:rFonts w:eastAsia="Times New Roman" w:cs="Arial"/>
                <w:sz w:val="18"/>
                <w:szCs w:val="20"/>
                <w:lang w:eastAsia="en-US"/>
              </w:rPr>
            </w:pPr>
          </w:p>
          <w:p w:rsidR="00D41D0C" w:rsidRPr="00621BF1" w:rsidRDefault="00D41D0C" w:rsidP="00D41D0C">
            <w:pPr>
              <w:jc w:val="center"/>
              <w:rPr>
                <w:rFonts w:eastAsia="Times New Roman" w:cs="Arial"/>
                <w:sz w:val="18"/>
                <w:szCs w:val="20"/>
                <w:lang w:eastAsia="en-US"/>
              </w:rPr>
            </w:pPr>
          </w:p>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1846 </w:t>
            </w:r>
            <w:proofErr w:type="spellStart"/>
            <w:r w:rsidRPr="00621BF1">
              <w:rPr>
                <w:rFonts w:eastAsia="Times New Roman" w:cs="Arial"/>
                <w:sz w:val="18"/>
                <w:szCs w:val="20"/>
                <w:lang w:eastAsia="en-US"/>
              </w:rPr>
              <w:t>litr</w:t>
            </w:r>
            <w:proofErr w:type="spellEnd"/>
          </w:p>
        </w:tc>
        <w:tc>
          <w:tcPr>
            <w:tcW w:w="1259" w:type="dxa"/>
          </w:tcPr>
          <w:p w:rsidR="00D41D0C" w:rsidRPr="00621BF1" w:rsidRDefault="00D41D0C" w:rsidP="00D41D0C">
            <w:pPr>
              <w:jc w:val="center"/>
              <w:rPr>
                <w:rFonts w:eastAsia="Times New Roman" w:cs="Arial"/>
                <w:sz w:val="18"/>
                <w:szCs w:val="20"/>
                <w:lang w:eastAsia="en-US"/>
              </w:rPr>
            </w:pPr>
          </w:p>
          <w:p w:rsidR="00D41D0C" w:rsidRPr="00621BF1" w:rsidRDefault="00D41D0C" w:rsidP="00D41D0C">
            <w:pPr>
              <w:jc w:val="center"/>
              <w:rPr>
                <w:rFonts w:eastAsia="Times New Roman" w:cs="Arial"/>
                <w:sz w:val="18"/>
                <w:szCs w:val="20"/>
                <w:lang w:eastAsia="en-US"/>
              </w:rPr>
            </w:pPr>
          </w:p>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1992 </w:t>
            </w:r>
            <w:proofErr w:type="spellStart"/>
            <w:r w:rsidRPr="00621BF1">
              <w:rPr>
                <w:rFonts w:eastAsia="Times New Roman" w:cs="Arial"/>
                <w:sz w:val="18"/>
                <w:szCs w:val="20"/>
                <w:lang w:eastAsia="en-US"/>
              </w:rPr>
              <w:t>litr</w:t>
            </w:r>
            <w:proofErr w:type="spellEnd"/>
          </w:p>
        </w:tc>
        <w:tc>
          <w:tcPr>
            <w:tcW w:w="1259" w:type="dxa"/>
          </w:tcPr>
          <w:p w:rsidR="00D41D0C" w:rsidRPr="00621BF1" w:rsidRDefault="00D41D0C" w:rsidP="00D41D0C">
            <w:pPr>
              <w:jc w:val="center"/>
              <w:rPr>
                <w:rFonts w:eastAsia="Times New Roman" w:cs="Arial"/>
                <w:sz w:val="18"/>
                <w:szCs w:val="20"/>
                <w:lang w:eastAsia="en-US"/>
              </w:rPr>
            </w:pPr>
          </w:p>
          <w:p w:rsidR="00D41D0C" w:rsidRPr="00621BF1" w:rsidRDefault="00D41D0C" w:rsidP="00D41D0C">
            <w:pPr>
              <w:jc w:val="center"/>
              <w:rPr>
                <w:rFonts w:eastAsia="Times New Roman" w:cs="Arial"/>
                <w:sz w:val="18"/>
                <w:szCs w:val="20"/>
                <w:lang w:eastAsia="en-US"/>
              </w:rPr>
            </w:pPr>
          </w:p>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2036 </w:t>
            </w:r>
            <w:proofErr w:type="spellStart"/>
            <w:r w:rsidRPr="00621BF1">
              <w:rPr>
                <w:rFonts w:eastAsia="Times New Roman" w:cs="Arial"/>
                <w:sz w:val="18"/>
                <w:szCs w:val="20"/>
                <w:lang w:eastAsia="en-US"/>
              </w:rPr>
              <w:t>litr</w:t>
            </w:r>
            <w:proofErr w:type="spellEnd"/>
          </w:p>
        </w:tc>
        <w:tc>
          <w:tcPr>
            <w:tcW w:w="1259" w:type="dxa"/>
          </w:tcPr>
          <w:p w:rsidR="00D41D0C" w:rsidRPr="00621BF1" w:rsidRDefault="00D41D0C" w:rsidP="00D41D0C">
            <w:pPr>
              <w:jc w:val="center"/>
              <w:rPr>
                <w:rFonts w:eastAsia="Times New Roman" w:cs="Arial"/>
                <w:sz w:val="18"/>
                <w:szCs w:val="20"/>
                <w:lang w:eastAsia="en-US"/>
              </w:rPr>
            </w:pPr>
          </w:p>
          <w:p w:rsidR="00D41D0C" w:rsidRPr="00621BF1" w:rsidRDefault="00D41D0C" w:rsidP="00D41D0C">
            <w:pPr>
              <w:jc w:val="center"/>
              <w:rPr>
                <w:rFonts w:eastAsia="Times New Roman" w:cs="Arial"/>
                <w:sz w:val="18"/>
                <w:szCs w:val="20"/>
                <w:lang w:eastAsia="en-US"/>
              </w:rPr>
            </w:pPr>
          </w:p>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2080 </w:t>
            </w:r>
            <w:proofErr w:type="spellStart"/>
            <w:r w:rsidRPr="00621BF1">
              <w:rPr>
                <w:rFonts w:eastAsia="Times New Roman" w:cs="Arial"/>
                <w:sz w:val="18"/>
                <w:szCs w:val="20"/>
                <w:lang w:eastAsia="en-US"/>
              </w:rPr>
              <w:t>litr</w:t>
            </w:r>
            <w:proofErr w:type="spellEnd"/>
          </w:p>
        </w:tc>
        <w:tc>
          <w:tcPr>
            <w:tcW w:w="1259" w:type="dxa"/>
          </w:tcPr>
          <w:p w:rsidR="00D41D0C" w:rsidRPr="00621BF1" w:rsidRDefault="00D41D0C" w:rsidP="00D41D0C">
            <w:pPr>
              <w:rPr>
                <w:rFonts w:eastAsia="Times New Roman" w:cs="Arial"/>
                <w:sz w:val="18"/>
                <w:szCs w:val="20"/>
                <w:lang w:eastAsia="en-US"/>
              </w:rPr>
            </w:pPr>
          </w:p>
          <w:p w:rsidR="00D41D0C" w:rsidRPr="00621BF1" w:rsidRDefault="00D41D0C" w:rsidP="00D41D0C">
            <w:pPr>
              <w:rPr>
                <w:rFonts w:eastAsia="Times New Roman" w:cs="Arial"/>
                <w:sz w:val="18"/>
                <w:szCs w:val="20"/>
                <w:lang w:eastAsia="en-US"/>
              </w:rPr>
            </w:pPr>
          </w:p>
          <w:p w:rsidR="00D41D0C" w:rsidRPr="00621BF1" w:rsidRDefault="00D41D0C" w:rsidP="00D41D0C">
            <w:pPr>
              <w:rPr>
                <w:rFonts w:eastAsia="Times New Roman" w:cs="Arial"/>
                <w:sz w:val="18"/>
                <w:szCs w:val="20"/>
                <w:lang w:eastAsia="en-US"/>
              </w:rPr>
            </w:pPr>
            <w:r w:rsidRPr="00621BF1">
              <w:rPr>
                <w:rFonts w:eastAsia="Times New Roman" w:cs="Arial"/>
                <w:sz w:val="18"/>
                <w:szCs w:val="20"/>
                <w:lang w:eastAsia="en-US"/>
              </w:rPr>
              <w:t xml:space="preserve">2126 </w:t>
            </w:r>
            <w:proofErr w:type="spellStart"/>
            <w:r w:rsidRPr="00621BF1">
              <w:rPr>
                <w:rFonts w:eastAsia="Times New Roman" w:cs="Arial"/>
                <w:sz w:val="18"/>
                <w:szCs w:val="20"/>
                <w:lang w:eastAsia="en-US"/>
              </w:rPr>
              <w:t>litr</w:t>
            </w:r>
            <w:proofErr w:type="spellEnd"/>
          </w:p>
        </w:tc>
      </w:tr>
      <w:tr w:rsidR="00D41D0C" w:rsidRPr="00621BF1" w:rsidTr="00D41D0C">
        <w:tc>
          <w:tcPr>
            <w:tcW w:w="1258" w:type="dxa"/>
          </w:tcPr>
          <w:p w:rsidR="00D41D0C" w:rsidRPr="00621BF1" w:rsidRDefault="00D41D0C" w:rsidP="00D41D0C">
            <w:pPr>
              <w:rPr>
                <w:rFonts w:eastAsia="Times New Roman" w:cs="Times New Roman"/>
                <w:sz w:val="18"/>
              </w:rPr>
            </w:pPr>
            <w:r w:rsidRPr="00621BF1">
              <w:rPr>
                <w:rFonts w:eastAsia="Times New Roman" w:cs="Times New Roman"/>
                <w:sz w:val="18"/>
              </w:rPr>
              <w:t>B</w:t>
            </w:r>
          </w:p>
        </w:tc>
        <w:tc>
          <w:tcPr>
            <w:tcW w:w="1617" w:type="dxa"/>
          </w:tcPr>
          <w:p w:rsidR="00D41D0C" w:rsidRPr="00621BF1" w:rsidRDefault="00D41D0C" w:rsidP="00D41D0C">
            <w:pPr>
              <w:rPr>
                <w:rFonts w:eastAsia="Times New Roman" w:cs="Times New Roman"/>
                <w:sz w:val="18"/>
                <w:lang w:val="fr-FR"/>
              </w:rPr>
            </w:pPr>
            <w:r w:rsidRPr="00621BF1">
              <w:rPr>
                <w:rFonts w:eastAsia="Times New Roman" w:cs="Times New Roman"/>
                <w:sz w:val="18"/>
                <w:lang w:val="fr-FR"/>
              </w:rPr>
              <w:t>Capacité positive totale nette existante</w:t>
            </w:r>
          </w:p>
        </w:tc>
        <w:tc>
          <w:tcPr>
            <w:tcW w:w="900" w:type="dxa"/>
            <w:vAlign w:val="center"/>
          </w:tcPr>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3,800 </w:t>
            </w:r>
            <w:proofErr w:type="spellStart"/>
            <w:r w:rsidRPr="00621BF1">
              <w:rPr>
                <w:rFonts w:eastAsia="Times New Roman" w:cs="Arial"/>
                <w:sz w:val="18"/>
                <w:szCs w:val="20"/>
                <w:lang w:eastAsia="en-US"/>
              </w:rPr>
              <w:t>litr</w:t>
            </w:r>
            <w:proofErr w:type="spellEnd"/>
          </w:p>
        </w:tc>
        <w:tc>
          <w:tcPr>
            <w:tcW w:w="1259" w:type="dxa"/>
            <w:vAlign w:val="center"/>
          </w:tcPr>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3,800 </w:t>
            </w:r>
            <w:proofErr w:type="spellStart"/>
            <w:r w:rsidRPr="00621BF1">
              <w:rPr>
                <w:rFonts w:eastAsia="Times New Roman" w:cs="Arial"/>
                <w:sz w:val="18"/>
                <w:szCs w:val="20"/>
                <w:lang w:eastAsia="en-US"/>
              </w:rPr>
              <w:t>litr</w:t>
            </w:r>
            <w:proofErr w:type="spellEnd"/>
          </w:p>
        </w:tc>
        <w:tc>
          <w:tcPr>
            <w:tcW w:w="1259" w:type="dxa"/>
            <w:vAlign w:val="center"/>
          </w:tcPr>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3,800 </w:t>
            </w:r>
            <w:proofErr w:type="spellStart"/>
            <w:r w:rsidRPr="00621BF1">
              <w:rPr>
                <w:rFonts w:eastAsia="Times New Roman" w:cs="Arial"/>
                <w:sz w:val="18"/>
                <w:szCs w:val="20"/>
                <w:lang w:eastAsia="en-US"/>
              </w:rPr>
              <w:t>litr</w:t>
            </w:r>
            <w:proofErr w:type="spellEnd"/>
          </w:p>
        </w:tc>
        <w:tc>
          <w:tcPr>
            <w:tcW w:w="1259" w:type="dxa"/>
            <w:vAlign w:val="center"/>
          </w:tcPr>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3,800 </w:t>
            </w:r>
            <w:proofErr w:type="spellStart"/>
            <w:r w:rsidRPr="00621BF1">
              <w:rPr>
                <w:rFonts w:eastAsia="Times New Roman" w:cs="Arial"/>
                <w:sz w:val="18"/>
                <w:szCs w:val="20"/>
                <w:lang w:eastAsia="en-US"/>
              </w:rPr>
              <w:t>litr</w:t>
            </w:r>
            <w:proofErr w:type="spellEnd"/>
          </w:p>
        </w:tc>
        <w:tc>
          <w:tcPr>
            <w:tcW w:w="1259" w:type="dxa"/>
            <w:vAlign w:val="center"/>
          </w:tcPr>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3,800 </w:t>
            </w:r>
            <w:proofErr w:type="spellStart"/>
            <w:r w:rsidRPr="00621BF1">
              <w:rPr>
                <w:rFonts w:eastAsia="Times New Roman" w:cs="Arial"/>
                <w:sz w:val="18"/>
                <w:szCs w:val="20"/>
                <w:lang w:eastAsia="en-US"/>
              </w:rPr>
              <w:t>litr</w:t>
            </w:r>
            <w:proofErr w:type="spellEnd"/>
          </w:p>
        </w:tc>
        <w:tc>
          <w:tcPr>
            <w:tcW w:w="1259" w:type="dxa"/>
          </w:tcPr>
          <w:p w:rsidR="00D41D0C" w:rsidRPr="00621BF1" w:rsidRDefault="00D41D0C" w:rsidP="00D41D0C">
            <w:pPr>
              <w:rPr>
                <w:rFonts w:eastAsia="Times New Roman" w:cs="Arial"/>
                <w:sz w:val="18"/>
                <w:szCs w:val="20"/>
                <w:lang w:eastAsia="en-US"/>
              </w:rPr>
            </w:pPr>
          </w:p>
          <w:p w:rsidR="00D41D0C" w:rsidRPr="00621BF1" w:rsidRDefault="00D41D0C" w:rsidP="00D41D0C">
            <w:pPr>
              <w:jc w:val="center"/>
              <w:rPr>
                <w:rFonts w:eastAsia="Times New Roman" w:cs="Arial"/>
                <w:sz w:val="18"/>
                <w:szCs w:val="20"/>
                <w:lang w:eastAsia="en-US"/>
              </w:rPr>
            </w:pPr>
            <w:r w:rsidRPr="00621BF1">
              <w:rPr>
                <w:rFonts w:eastAsia="Times New Roman" w:cs="Arial"/>
                <w:sz w:val="18"/>
                <w:szCs w:val="20"/>
                <w:lang w:eastAsia="en-US"/>
              </w:rPr>
              <w:t xml:space="preserve">3,800 </w:t>
            </w:r>
            <w:proofErr w:type="spellStart"/>
            <w:r w:rsidRPr="00621BF1">
              <w:rPr>
                <w:rFonts w:eastAsia="Times New Roman" w:cs="Arial"/>
                <w:sz w:val="18"/>
                <w:szCs w:val="20"/>
                <w:lang w:eastAsia="en-US"/>
              </w:rPr>
              <w:t>litr</w:t>
            </w:r>
            <w:proofErr w:type="spellEnd"/>
          </w:p>
        </w:tc>
      </w:tr>
      <w:tr w:rsidR="00D41D0C" w:rsidRPr="00621BF1" w:rsidTr="00D41D0C">
        <w:tc>
          <w:tcPr>
            <w:tcW w:w="1258" w:type="dxa"/>
          </w:tcPr>
          <w:p w:rsidR="00D41D0C" w:rsidRPr="00621BF1" w:rsidRDefault="00D41D0C" w:rsidP="00D41D0C">
            <w:pPr>
              <w:rPr>
                <w:rFonts w:eastAsia="Times New Roman" w:cs="Times New Roman"/>
                <w:sz w:val="18"/>
              </w:rPr>
            </w:pPr>
            <w:r w:rsidRPr="00621BF1">
              <w:rPr>
                <w:rFonts w:eastAsia="Times New Roman" w:cs="Times New Roman"/>
                <w:sz w:val="18"/>
              </w:rPr>
              <w:t>C</w:t>
            </w:r>
          </w:p>
        </w:tc>
        <w:tc>
          <w:tcPr>
            <w:tcW w:w="1617" w:type="dxa"/>
          </w:tcPr>
          <w:p w:rsidR="00D41D0C" w:rsidRPr="00621BF1" w:rsidRDefault="00D41D0C" w:rsidP="00D41D0C">
            <w:pPr>
              <w:rPr>
                <w:rFonts w:eastAsia="Times New Roman" w:cs="Times New Roman"/>
                <w:sz w:val="18"/>
              </w:rPr>
            </w:pPr>
            <w:r w:rsidRPr="00621BF1">
              <w:rPr>
                <w:rFonts w:eastAsia="Times New Roman" w:cs="Times New Roman"/>
                <w:sz w:val="18"/>
              </w:rPr>
              <w:t xml:space="preserve">Gap </w:t>
            </w:r>
          </w:p>
        </w:tc>
        <w:tc>
          <w:tcPr>
            <w:tcW w:w="900" w:type="dxa"/>
            <w:vAlign w:val="center"/>
          </w:tcPr>
          <w:p w:rsidR="00D41D0C" w:rsidRPr="00621BF1" w:rsidRDefault="00D41D0C" w:rsidP="00D41D0C">
            <w:pPr>
              <w:jc w:val="center"/>
              <w:rPr>
                <w:rFonts w:eastAsia="Times New Roman" w:cs="Arial"/>
                <w:b/>
                <w:color w:val="0070C0"/>
                <w:sz w:val="18"/>
                <w:szCs w:val="20"/>
                <w:lang w:eastAsia="en-US"/>
              </w:rPr>
            </w:pPr>
            <w:r w:rsidRPr="00621BF1">
              <w:rPr>
                <w:rFonts w:eastAsia="Times New Roman" w:cs="Arial"/>
                <w:b/>
                <w:color w:val="0070C0"/>
                <w:sz w:val="18"/>
                <w:szCs w:val="20"/>
                <w:lang w:eastAsia="en-US"/>
              </w:rPr>
              <w:t xml:space="preserve">-2,464 </w:t>
            </w:r>
            <w:proofErr w:type="spellStart"/>
            <w:r w:rsidRPr="00621BF1">
              <w:rPr>
                <w:rFonts w:eastAsia="Times New Roman" w:cs="Arial"/>
                <w:b/>
                <w:color w:val="0070C0"/>
                <w:sz w:val="18"/>
                <w:szCs w:val="20"/>
                <w:lang w:eastAsia="en-US"/>
              </w:rPr>
              <w:t>litr</w:t>
            </w:r>
            <w:proofErr w:type="spellEnd"/>
          </w:p>
        </w:tc>
        <w:tc>
          <w:tcPr>
            <w:tcW w:w="1259" w:type="dxa"/>
            <w:vAlign w:val="center"/>
          </w:tcPr>
          <w:p w:rsidR="00D41D0C" w:rsidRPr="00621BF1" w:rsidRDefault="00D41D0C" w:rsidP="00D41D0C">
            <w:pPr>
              <w:jc w:val="center"/>
              <w:rPr>
                <w:rFonts w:eastAsia="Times New Roman" w:cs="Arial"/>
                <w:b/>
                <w:color w:val="0070C0"/>
                <w:sz w:val="18"/>
                <w:szCs w:val="20"/>
                <w:lang w:eastAsia="en-US"/>
              </w:rPr>
            </w:pPr>
            <w:r w:rsidRPr="00621BF1">
              <w:rPr>
                <w:rFonts w:eastAsia="Times New Roman" w:cs="Arial"/>
                <w:b/>
                <w:color w:val="0070C0"/>
                <w:sz w:val="18"/>
                <w:szCs w:val="20"/>
                <w:lang w:eastAsia="en-US"/>
              </w:rPr>
              <w:t xml:space="preserve">-2,723 </w:t>
            </w:r>
            <w:proofErr w:type="spellStart"/>
            <w:r w:rsidRPr="00621BF1">
              <w:rPr>
                <w:rFonts w:eastAsia="Times New Roman" w:cs="Arial"/>
                <w:b/>
                <w:color w:val="0070C0"/>
                <w:sz w:val="18"/>
                <w:szCs w:val="20"/>
                <w:lang w:eastAsia="en-US"/>
              </w:rPr>
              <w:t>litr</w:t>
            </w:r>
            <w:proofErr w:type="spellEnd"/>
          </w:p>
        </w:tc>
        <w:tc>
          <w:tcPr>
            <w:tcW w:w="1259" w:type="dxa"/>
            <w:vAlign w:val="center"/>
          </w:tcPr>
          <w:p w:rsidR="00D41D0C" w:rsidRPr="00621BF1" w:rsidRDefault="00D41D0C" w:rsidP="00D41D0C">
            <w:pPr>
              <w:jc w:val="center"/>
              <w:rPr>
                <w:rFonts w:eastAsia="Times New Roman" w:cs="Arial"/>
                <w:b/>
                <w:color w:val="0070C0"/>
                <w:sz w:val="18"/>
                <w:szCs w:val="20"/>
                <w:lang w:eastAsia="en-US"/>
              </w:rPr>
            </w:pPr>
            <w:r w:rsidRPr="00621BF1">
              <w:rPr>
                <w:rFonts w:eastAsia="Times New Roman" w:cs="Arial"/>
                <w:b/>
                <w:color w:val="0070C0"/>
                <w:sz w:val="18"/>
                <w:szCs w:val="20"/>
                <w:lang w:eastAsia="en-US"/>
              </w:rPr>
              <w:t xml:space="preserve">-2,638 </w:t>
            </w:r>
            <w:proofErr w:type="spellStart"/>
            <w:r w:rsidRPr="00621BF1">
              <w:rPr>
                <w:rFonts w:eastAsia="Times New Roman" w:cs="Arial"/>
                <w:b/>
                <w:color w:val="0070C0"/>
                <w:sz w:val="18"/>
                <w:szCs w:val="20"/>
                <w:lang w:eastAsia="en-US"/>
              </w:rPr>
              <w:t>litr</w:t>
            </w:r>
            <w:proofErr w:type="spellEnd"/>
          </w:p>
        </w:tc>
        <w:tc>
          <w:tcPr>
            <w:tcW w:w="1259" w:type="dxa"/>
            <w:vAlign w:val="center"/>
          </w:tcPr>
          <w:p w:rsidR="00D41D0C" w:rsidRPr="00621BF1" w:rsidRDefault="00D41D0C" w:rsidP="00D41D0C">
            <w:pPr>
              <w:jc w:val="center"/>
              <w:rPr>
                <w:rFonts w:eastAsia="Times New Roman" w:cs="Arial"/>
                <w:b/>
                <w:color w:val="0070C0"/>
                <w:sz w:val="18"/>
                <w:szCs w:val="20"/>
                <w:lang w:eastAsia="en-US"/>
              </w:rPr>
            </w:pPr>
            <w:r w:rsidRPr="00621BF1">
              <w:rPr>
                <w:rFonts w:eastAsia="Times New Roman" w:cs="Arial"/>
                <w:b/>
                <w:color w:val="0070C0"/>
                <w:sz w:val="18"/>
                <w:szCs w:val="20"/>
                <w:lang w:eastAsia="en-US"/>
              </w:rPr>
              <w:t xml:space="preserve">-2,613 </w:t>
            </w:r>
            <w:proofErr w:type="spellStart"/>
            <w:r w:rsidRPr="00621BF1">
              <w:rPr>
                <w:rFonts w:eastAsia="Times New Roman" w:cs="Arial"/>
                <w:b/>
                <w:color w:val="0070C0"/>
                <w:sz w:val="18"/>
                <w:szCs w:val="20"/>
                <w:lang w:eastAsia="en-US"/>
              </w:rPr>
              <w:t>litr</w:t>
            </w:r>
            <w:proofErr w:type="spellEnd"/>
          </w:p>
        </w:tc>
        <w:tc>
          <w:tcPr>
            <w:tcW w:w="1259" w:type="dxa"/>
            <w:vAlign w:val="center"/>
          </w:tcPr>
          <w:p w:rsidR="00D41D0C" w:rsidRPr="00621BF1" w:rsidRDefault="00D41D0C" w:rsidP="00D41D0C">
            <w:pPr>
              <w:jc w:val="center"/>
              <w:rPr>
                <w:rFonts w:eastAsia="Times New Roman" w:cs="Arial"/>
                <w:b/>
                <w:color w:val="0070C0"/>
                <w:sz w:val="18"/>
                <w:szCs w:val="20"/>
                <w:lang w:eastAsia="en-US"/>
              </w:rPr>
            </w:pPr>
            <w:r w:rsidRPr="00621BF1">
              <w:rPr>
                <w:rFonts w:eastAsia="Times New Roman" w:cs="Arial"/>
                <w:b/>
                <w:color w:val="0070C0"/>
                <w:sz w:val="18"/>
                <w:szCs w:val="20"/>
                <w:lang w:eastAsia="en-US"/>
              </w:rPr>
              <w:t xml:space="preserve">-2,586 </w:t>
            </w:r>
            <w:proofErr w:type="spellStart"/>
            <w:r w:rsidRPr="00621BF1">
              <w:rPr>
                <w:rFonts w:eastAsia="Times New Roman" w:cs="Arial"/>
                <w:b/>
                <w:color w:val="0070C0"/>
                <w:sz w:val="18"/>
                <w:szCs w:val="20"/>
                <w:lang w:eastAsia="en-US"/>
              </w:rPr>
              <w:t>litr</w:t>
            </w:r>
            <w:proofErr w:type="spellEnd"/>
          </w:p>
        </w:tc>
        <w:tc>
          <w:tcPr>
            <w:tcW w:w="1259" w:type="dxa"/>
          </w:tcPr>
          <w:p w:rsidR="00D41D0C" w:rsidRPr="00621BF1" w:rsidRDefault="00D41D0C" w:rsidP="00D41D0C">
            <w:pPr>
              <w:jc w:val="center"/>
              <w:rPr>
                <w:rFonts w:eastAsia="Times New Roman" w:cs="Arial"/>
                <w:b/>
                <w:color w:val="0070C0"/>
                <w:sz w:val="18"/>
                <w:szCs w:val="20"/>
                <w:lang w:eastAsia="en-US"/>
              </w:rPr>
            </w:pPr>
            <w:r w:rsidRPr="00621BF1">
              <w:rPr>
                <w:rFonts w:eastAsia="Times New Roman" w:cs="Arial"/>
                <w:b/>
                <w:color w:val="0070C0"/>
                <w:sz w:val="18"/>
                <w:szCs w:val="20"/>
                <w:lang w:eastAsia="en-US"/>
              </w:rPr>
              <w:t xml:space="preserve">-2,560 </w:t>
            </w:r>
            <w:proofErr w:type="spellStart"/>
            <w:r w:rsidRPr="00621BF1">
              <w:rPr>
                <w:rFonts w:eastAsia="Times New Roman" w:cs="Arial"/>
                <w:b/>
                <w:color w:val="0070C0"/>
                <w:sz w:val="18"/>
                <w:szCs w:val="20"/>
                <w:lang w:eastAsia="en-US"/>
              </w:rPr>
              <w:t>litr</w:t>
            </w:r>
            <w:proofErr w:type="spellEnd"/>
          </w:p>
        </w:tc>
      </w:tr>
    </w:tbl>
    <w:p w:rsidR="00D04F5B" w:rsidRPr="00621BF1" w:rsidRDefault="00D04F5B" w:rsidP="00D04F5B">
      <w:pPr>
        <w:keepLines/>
        <w:tabs>
          <w:tab w:val="left" w:pos="426"/>
        </w:tabs>
        <w:spacing w:before="120" w:after="0" w:line="240" w:lineRule="auto"/>
        <w:jc w:val="both"/>
        <w:rPr>
          <w:rFonts w:eastAsia="Times New Roman" w:cs="Times New Roman"/>
        </w:rPr>
      </w:pPr>
      <w:r w:rsidRPr="00621BF1">
        <w:rPr>
          <w:rFonts w:eastAsia="Times New Roman" w:cs="Times New Roman"/>
        </w:rPr>
        <w:t xml:space="preserve">Aucune des chambres froides ne dispose d’enregistreurs continus de température. Les glacières utilisées par le niveau central à l’intérieur du pays sont insuffisantes pour le transport du pic maximum de vaccins. Une commande est actuellement en cours pour i) renforcer les capacités en glacières ; ii) doter les chambres froides en enregistreur continu de température adapté.  </w:t>
      </w:r>
    </w:p>
    <w:p w:rsidR="00D04F5B" w:rsidRPr="00621BF1" w:rsidRDefault="00D04F5B" w:rsidP="00D04F5B">
      <w:pPr>
        <w:keepLines/>
        <w:tabs>
          <w:tab w:val="left" w:pos="426"/>
        </w:tabs>
        <w:spacing w:before="120" w:after="0" w:line="240" w:lineRule="auto"/>
        <w:jc w:val="both"/>
        <w:rPr>
          <w:rFonts w:eastAsia="Times New Roman" w:cs="Times New Roman"/>
          <w:sz w:val="6"/>
        </w:rPr>
      </w:pPr>
    </w:p>
    <w:p w:rsidR="00D04F5B" w:rsidRPr="00621BF1" w:rsidRDefault="00D04F5B" w:rsidP="00D41D0C">
      <w:pPr>
        <w:pStyle w:val="Paragraphedeliste"/>
        <w:numPr>
          <w:ilvl w:val="0"/>
          <w:numId w:val="29"/>
        </w:numPr>
        <w:spacing w:after="0"/>
        <w:rPr>
          <w:rFonts w:eastAsia="Times New Roman" w:cs="Times New Roman"/>
          <w:b/>
        </w:rPr>
      </w:pPr>
      <w:r w:rsidRPr="00621BF1">
        <w:rPr>
          <w:rFonts w:eastAsia="Times New Roman" w:cs="Times New Roman"/>
          <w:b/>
        </w:rPr>
        <w:t xml:space="preserve">Besoins en équipements additionnels </w:t>
      </w:r>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Au niveau central, les gaps en capacité de stockage identifiés seront comblés par l’acquisition et l’installation d’une chambre froide positive de 40m</w:t>
      </w:r>
      <w:r w:rsidRPr="00621BF1">
        <w:rPr>
          <w:rFonts w:eastAsia="Times New Roman" w:cs="Times New Roman"/>
          <w:vertAlign w:val="superscript"/>
        </w:rPr>
        <w:t>3</w:t>
      </w:r>
      <w:r w:rsidRPr="00621BF1">
        <w:rPr>
          <w:rFonts w:eastAsia="Times New Roman" w:cs="Times New Roman"/>
        </w:rPr>
        <w:t xml:space="preserve"> en 2017 pour l’introduction du PCV 13 et du Rota en 2018 et d’une chambre froide de 60m</w:t>
      </w:r>
      <w:r w:rsidRPr="00621BF1">
        <w:rPr>
          <w:rFonts w:eastAsia="Times New Roman" w:cs="Times New Roman"/>
          <w:vertAlign w:val="superscript"/>
        </w:rPr>
        <w:t>3</w:t>
      </w:r>
      <w:r w:rsidRPr="00621BF1">
        <w:rPr>
          <w:rFonts w:eastAsia="Times New Roman" w:cs="Times New Roman"/>
        </w:rPr>
        <w:t xml:space="preserve"> pour l’introduction du </w:t>
      </w:r>
      <w:proofErr w:type="spellStart"/>
      <w:r w:rsidRPr="00621BF1">
        <w:rPr>
          <w:rFonts w:eastAsia="Times New Roman" w:cs="Times New Roman"/>
        </w:rPr>
        <w:t>MenA</w:t>
      </w:r>
      <w:proofErr w:type="spellEnd"/>
      <w:r w:rsidRPr="00621BF1">
        <w:rPr>
          <w:rFonts w:eastAsia="Times New Roman" w:cs="Times New Roman"/>
        </w:rPr>
        <w:t xml:space="preserve"> et HPV en 2019. Ceci évitera l’installation d’une chambre froide supplémentaire en 2021. </w:t>
      </w:r>
    </w:p>
    <w:p w:rsidR="00D04F5B" w:rsidRPr="00621BF1" w:rsidRDefault="00D41D0C" w:rsidP="00D41D0C">
      <w:pPr>
        <w:pStyle w:val="Lgende"/>
        <w:jc w:val="center"/>
        <w:rPr>
          <w:i w:val="0"/>
          <w:sz w:val="18"/>
        </w:rPr>
      </w:pPr>
      <w:bookmarkStart w:id="88" w:name="_Toc456109479"/>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13</w:t>
      </w:r>
      <w:r w:rsidR="00B51B2E" w:rsidRPr="00621BF1">
        <w:fldChar w:fldCharType="end"/>
      </w:r>
      <w:r w:rsidRPr="00621BF1">
        <w:t>: Capacité de stockage requise en réfrigération au niveau central (litres)</w:t>
      </w:r>
      <w:bookmarkEnd w:id="88"/>
    </w:p>
    <w:p w:rsidR="00D04F5B" w:rsidRPr="00621BF1" w:rsidRDefault="00D04F5B" w:rsidP="00D41D0C">
      <w:pPr>
        <w:keepLines/>
        <w:tabs>
          <w:tab w:val="left" w:pos="426"/>
        </w:tabs>
        <w:spacing w:before="120"/>
        <w:rPr>
          <w:rFonts w:eastAsia="Times New Roman" w:cs="Times New Roman"/>
        </w:rPr>
      </w:pPr>
      <w:r w:rsidRPr="00621BF1">
        <w:rPr>
          <w:rFonts w:eastAsia="Times New Roman" w:cs="Times New Roman"/>
        </w:rPr>
        <w:t xml:space="preserve">            </w:t>
      </w:r>
      <w:r w:rsidRPr="00621BF1">
        <w:rPr>
          <w:noProof/>
          <w:lang w:eastAsia="fr-FR"/>
        </w:rPr>
        <w:drawing>
          <wp:inline distT="0" distB="0" distL="0" distR="0">
            <wp:extent cx="4585648" cy="1418486"/>
            <wp:effectExtent l="0" t="0" r="571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9653" cy="1438285"/>
                    </a:xfrm>
                    <a:prstGeom prst="rect">
                      <a:avLst/>
                    </a:prstGeom>
                    <a:noFill/>
                    <a:ln>
                      <a:noFill/>
                    </a:ln>
                  </pic:spPr>
                </pic:pic>
              </a:graphicData>
            </a:graphic>
          </wp:inline>
        </w:drawing>
      </w:r>
      <w:r w:rsidRPr="00621BF1">
        <w:rPr>
          <w:rFonts w:eastAsia="Times New Roman" w:cs="Times New Roman"/>
        </w:rPr>
        <w:t xml:space="preserve">                                     </w:t>
      </w:r>
    </w:p>
    <w:p w:rsidR="00D04F5B" w:rsidRPr="00621BF1" w:rsidRDefault="00D04F5B" w:rsidP="00D41D0C">
      <w:pPr>
        <w:keepLines/>
        <w:tabs>
          <w:tab w:val="left" w:pos="426"/>
        </w:tabs>
        <w:spacing w:before="120"/>
        <w:jc w:val="center"/>
        <w:rPr>
          <w:rFonts w:cs="Arial"/>
          <w:color w:val="000000" w:themeColor="text1"/>
        </w:rPr>
      </w:pPr>
      <w:r w:rsidRPr="00621BF1">
        <w:rPr>
          <w:rFonts w:cs="Arial"/>
          <w:noProof/>
          <w:color w:val="000000" w:themeColor="text1"/>
          <w:lang w:eastAsia="fr-FR"/>
        </w:rPr>
        <w:lastRenderedPageBreak/>
        <w:drawing>
          <wp:inline distT="0" distB="0" distL="0" distR="0">
            <wp:extent cx="4312693" cy="28456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7907" cy="2868876"/>
                    </a:xfrm>
                    <a:prstGeom prst="rect">
                      <a:avLst/>
                    </a:prstGeom>
                    <a:noFill/>
                  </pic:spPr>
                </pic:pic>
              </a:graphicData>
            </a:graphic>
          </wp:inline>
        </w:drawing>
      </w:r>
    </w:p>
    <w:p w:rsidR="00D04F5B" w:rsidRDefault="00D41D0C" w:rsidP="00451C16">
      <w:pPr>
        <w:pStyle w:val="Lgende"/>
      </w:pPr>
      <w:r w:rsidRPr="00621BF1">
        <w:t xml:space="preserve">         </w:t>
      </w:r>
      <w:bookmarkStart w:id="89" w:name="_Toc456109503"/>
      <w:r w:rsidRPr="00621BF1">
        <w:t xml:space="preserve">Figure </w:t>
      </w:r>
      <w:r w:rsidR="00B51B2E" w:rsidRPr="00621BF1">
        <w:fldChar w:fldCharType="begin"/>
      </w:r>
      <w:r w:rsidRPr="00621BF1">
        <w:instrText xml:space="preserve"> SEQ Figure \* ARABIC </w:instrText>
      </w:r>
      <w:r w:rsidR="00B51B2E" w:rsidRPr="00621BF1">
        <w:fldChar w:fldCharType="separate"/>
      </w:r>
      <w:r w:rsidR="00DC4EEF">
        <w:rPr>
          <w:noProof/>
        </w:rPr>
        <w:t>6</w:t>
      </w:r>
      <w:r w:rsidR="00B51B2E" w:rsidRPr="00621BF1">
        <w:fldChar w:fldCharType="end"/>
      </w:r>
      <w:r w:rsidRPr="00621BF1">
        <w:t> : Analyse capacité de stockage chambres froides positives du niveau central jusqu’en 2021</w:t>
      </w:r>
      <w:bookmarkEnd w:id="89"/>
    </w:p>
    <w:p w:rsidR="00451C16" w:rsidRPr="00451C16" w:rsidRDefault="00451C16" w:rsidP="00451C16">
      <w:pPr>
        <w:rPr>
          <w:lang w:val="fr-BE" w:eastAsia="fr-FR"/>
        </w:rPr>
      </w:pPr>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Une chambre froide de 40m</w:t>
      </w:r>
      <w:r w:rsidRPr="00621BF1">
        <w:rPr>
          <w:rFonts w:eastAsia="Times New Roman" w:cs="Times New Roman"/>
          <w:vertAlign w:val="superscript"/>
        </w:rPr>
        <w:t>3</w:t>
      </w:r>
      <w:r w:rsidRPr="00621BF1">
        <w:rPr>
          <w:rFonts w:eastAsia="Times New Roman" w:cs="Times New Roman"/>
        </w:rPr>
        <w:t xml:space="preserve"> étant en instance d’installation d’ici la fin de l’année 2016, il restera l’acquisition et l’installation de la chambre froide positive de 60m</w:t>
      </w:r>
      <w:r w:rsidRPr="00621BF1">
        <w:rPr>
          <w:rFonts w:eastAsia="Times New Roman" w:cs="Times New Roman"/>
          <w:vertAlign w:val="superscript"/>
        </w:rPr>
        <w:t>3</w:t>
      </w:r>
      <w:r w:rsidRPr="00621BF1">
        <w:rPr>
          <w:rFonts w:eastAsia="Times New Roman" w:cs="Times New Roman"/>
        </w:rPr>
        <w:t xml:space="preserve"> en 2018 pour l’introduction du Rota et du Men A en 2019.</w:t>
      </w:r>
    </w:p>
    <w:p w:rsidR="00D04F5B" w:rsidRPr="00621BF1" w:rsidRDefault="00D04F5B" w:rsidP="00070352">
      <w:pPr>
        <w:pStyle w:val="Titre4"/>
      </w:pPr>
      <w:r w:rsidRPr="00621BF1">
        <w:t xml:space="preserve">  Niveau des dépôts intermédiaires (Régions sanitaires)</w:t>
      </w:r>
    </w:p>
    <w:p w:rsidR="0047227C" w:rsidRDefault="00D04F5B" w:rsidP="0047227C">
      <w:pPr>
        <w:keepLines/>
        <w:tabs>
          <w:tab w:val="left" w:pos="426"/>
        </w:tabs>
        <w:spacing w:before="120"/>
        <w:jc w:val="both"/>
        <w:rPr>
          <w:rFonts w:eastAsia="Times New Roman" w:cs="Times New Roman"/>
        </w:rPr>
      </w:pPr>
      <w:r w:rsidRPr="003C3184">
        <w:rPr>
          <w:rFonts w:eastAsia="Times New Roman" w:cs="Times New Roman"/>
        </w:rPr>
        <w:t>Bien que les 8 dépôts régionaux ne soient pas impliqués dans la chaine d’approvisionnement actuelle, ils disposent d’un réfrigérateur et d’un congélateur ou sont stockes les stocks tampons pendant les AVS. L’une des principales</w:t>
      </w:r>
      <w:r w:rsidRPr="00621BF1">
        <w:rPr>
          <w:rFonts w:eastAsia="Times New Roman" w:cs="Times New Roman"/>
        </w:rPr>
        <w:t xml:space="preserve"> recommandations de la GEV de 2011 était la création de 3 dépôts </w:t>
      </w:r>
      <w:proofErr w:type="spellStart"/>
      <w:r w:rsidRPr="00621BF1">
        <w:rPr>
          <w:rFonts w:eastAsia="Times New Roman" w:cs="Times New Roman"/>
        </w:rPr>
        <w:t>sub</w:t>
      </w:r>
      <w:proofErr w:type="spellEnd"/>
      <w:r w:rsidRPr="00621BF1">
        <w:rPr>
          <w:rFonts w:eastAsia="Times New Roman" w:cs="Times New Roman"/>
        </w:rPr>
        <w:t>-nationaux avec l’installation de chambres froides solaires de 10m</w:t>
      </w:r>
      <w:r w:rsidRPr="00621BF1">
        <w:rPr>
          <w:rFonts w:eastAsia="Times New Roman" w:cs="Times New Roman"/>
          <w:vertAlign w:val="superscript"/>
        </w:rPr>
        <w:t>3</w:t>
      </w:r>
      <w:r w:rsidRPr="00621BF1">
        <w:rPr>
          <w:rFonts w:eastAsia="Times New Roman" w:cs="Times New Roman"/>
        </w:rPr>
        <w:t xml:space="preserve"> à Kankan, Labé et Nzérékoré en vue d’améliorer le système de la chaine d’approvisionnement. Pour répondre à cette recommandation, 03 chambres froides de 20m</w:t>
      </w:r>
      <w:r w:rsidRPr="00621BF1">
        <w:rPr>
          <w:rFonts w:eastAsia="Times New Roman" w:cs="Times New Roman"/>
          <w:vertAlign w:val="superscript"/>
        </w:rPr>
        <w:t>3</w:t>
      </w:r>
      <w:r w:rsidRPr="00621BF1">
        <w:rPr>
          <w:rFonts w:eastAsia="Times New Roman" w:cs="Times New Roman"/>
        </w:rPr>
        <w:t xml:space="preserve"> chacune, acquises </w:t>
      </w:r>
      <w:r w:rsidR="0047227C">
        <w:rPr>
          <w:rFonts w:eastAsia="Times New Roman" w:cs="Times New Roman"/>
        </w:rPr>
        <w:t xml:space="preserve">avec l’appui du </w:t>
      </w:r>
      <w:r w:rsidRPr="00621BF1">
        <w:rPr>
          <w:rFonts w:eastAsia="Times New Roman" w:cs="Times New Roman"/>
        </w:rPr>
        <w:t>FNUAP, ont été installées dans ces régions. Trois groupes électrogènes ont également été installés. Malheureusement ces chambres froides n’ont jamais pu être utilisées par le programme par absence d’électricité et de carburant pour le fonctionnement des groupes électrogènes.</w:t>
      </w:r>
      <w:r w:rsidR="0047227C">
        <w:rPr>
          <w:rFonts w:eastAsia="Times New Roman" w:cs="Times New Roman"/>
        </w:rPr>
        <w:t xml:space="preserve"> La solarisation de ces 3 chambres froides en cours avec l’appui de l’Unicef. </w:t>
      </w:r>
    </w:p>
    <w:p w:rsidR="00070352" w:rsidRPr="00621BF1" w:rsidRDefault="00B53E25" w:rsidP="00451C16">
      <w:pPr>
        <w:spacing w:after="120"/>
        <w:jc w:val="both"/>
        <w:rPr>
          <w:rFonts w:cs="Times New Roman"/>
        </w:rPr>
      </w:pPr>
      <w:r w:rsidRPr="00621BF1">
        <w:t xml:space="preserve">  </w:t>
      </w:r>
      <w:bookmarkStart w:id="90" w:name="_Toc456109480"/>
      <w:r w:rsidR="00070352" w:rsidRPr="00621BF1">
        <w:t xml:space="preserve">Tableau </w:t>
      </w:r>
      <w:r w:rsidR="00B51B2E">
        <w:rPr>
          <w:noProof/>
        </w:rPr>
        <w:fldChar w:fldCharType="begin"/>
      </w:r>
      <w:r w:rsidR="00685281">
        <w:rPr>
          <w:noProof/>
        </w:rPr>
        <w:instrText xml:space="preserve"> SEQ Tableau \* ARABIC </w:instrText>
      </w:r>
      <w:r w:rsidR="00B51B2E">
        <w:rPr>
          <w:noProof/>
        </w:rPr>
        <w:fldChar w:fldCharType="separate"/>
      </w:r>
      <w:r w:rsidR="00DC4EEF">
        <w:rPr>
          <w:noProof/>
        </w:rPr>
        <w:t>14</w:t>
      </w:r>
      <w:r w:rsidR="00B51B2E">
        <w:rPr>
          <w:noProof/>
        </w:rPr>
        <w:fldChar w:fldCharType="end"/>
      </w:r>
      <w:r w:rsidR="00070352" w:rsidRPr="00621BF1">
        <w:t>: Capacité additionnelle de stockage requise en réfrigération au niveau régional (litres)</w:t>
      </w:r>
      <w:bookmarkEnd w:id="90"/>
    </w:p>
    <w:p w:rsidR="00D04F5B" w:rsidRPr="00621BF1" w:rsidRDefault="00D04F5B" w:rsidP="00D04F5B">
      <w:pPr>
        <w:keepLines/>
        <w:tabs>
          <w:tab w:val="left" w:pos="426"/>
        </w:tabs>
        <w:spacing w:before="120" w:after="0"/>
        <w:jc w:val="both"/>
        <w:rPr>
          <w:rFonts w:eastAsia="Times New Roman" w:cs="Times New Roman"/>
        </w:rPr>
      </w:pPr>
      <w:r w:rsidRPr="00621BF1">
        <w:rPr>
          <w:rFonts w:eastAsia="Times New Roman" w:cs="Times New Roman"/>
        </w:rPr>
        <w:t xml:space="preserve">             </w:t>
      </w:r>
      <w:r w:rsidRPr="00621BF1">
        <w:rPr>
          <w:noProof/>
          <w:lang w:eastAsia="fr-FR"/>
        </w:rPr>
        <w:drawing>
          <wp:inline distT="0" distB="0" distL="0" distR="0">
            <wp:extent cx="5049672" cy="1495185"/>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2247" cy="1507791"/>
                    </a:xfrm>
                    <a:prstGeom prst="rect">
                      <a:avLst/>
                    </a:prstGeom>
                    <a:noFill/>
                    <a:ln>
                      <a:noFill/>
                    </a:ln>
                  </pic:spPr>
                </pic:pic>
              </a:graphicData>
            </a:graphic>
          </wp:inline>
        </w:drawing>
      </w:r>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lastRenderedPageBreak/>
        <w:t>Le statut des capacités disponibles et requises des dépôts de stockage au niveau régional jusqu’à 2020 sont présenté</w:t>
      </w:r>
      <w:r w:rsidR="00070352" w:rsidRPr="00621BF1">
        <w:rPr>
          <w:rFonts w:eastAsia="Times New Roman" w:cs="Times New Roman"/>
        </w:rPr>
        <w:t xml:space="preserve">es dans le tableau ci-dessous : </w:t>
      </w:r>
      <w:r w:rsidRPr="00621BF1">
        <w:rPr>
          <w:rFonts w:eastAsia="Times New Roman" w:cs="Times New Roman"/>
        </w:rPr>
        <w:t xml:space="preserve"> </w:t>
      </w:r>
    </w:p>
    <w:p w:rsidR="00070352" w:rsidRPr="00621BF1" w:rsidRDefault="00D04F5B" w:rsidP="00070352">
      <w:pPr>
        <w:keepLines/>
        <w:tabs>
          <w:tab w:val="left" w:pos="426"/>
        </w:tabs>
        <w:spacing w:before="120"/>
        <w:jc w:val="center"/>
        <w:rPr>
          <w:rFonts w:cs="Arial"/>
          <w:b/>
          <w:i/>
          <w:sz w:val="16"/>
          <w:u w:val="single"/>
        </w:rPr>
      </w:pPr>
      <w:r w:rsidRPr="00621BF1">
        <w:rPr>
          <w:rFonts w:eastAsia="Times New Roman" w:cs="Times New Roman"/>
          <w:noProof/>
          <w:lang w:eastAsia="fr-FR"/>
        </w:rPr>
        <w:drawing>
          <wp:inline distT="0" distB="0" distL="0" distR="0">
            <wp:extent cx="4234881" cy="27178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3260" cy="2736013"/>
                    </a:xfrm>
                    <a:prstGeom prst="rect">
                      <a:avLst/>
                    </a:prstGeom>
                    <a:noFill/>
                  </pic:spPr>
                </pic:pic>
              </a:graphicData>
            </a:graphic>
          </wp:inline>
        </w:drawing>
      </w:r>
    </w:p>
    <w:p w:rsidR="00D04F5B" w:rsidRPr="00621BF1" w:rsidRDefault="00070352" w:rsidP="00070352">
      <w:pPr>
        <w:pStyle w:val="Lgende"/>
        <w:jc w:val="center"/>
        <w:rPr>
          <w:rFonts w:cs="Times New Roman"/>
        </w:rPr>
      </w:pPr>
      <w:bookmarkStart w:id="91" w:name="_Toc456109504"/>
      <w:r w:rsidRPr="00621BF1">
        <w:t xml:space="preserve">Figure </w:t>
      </w:r>
      <w:r w:rsidR="00B51B2E" w:rsidRPr="00621BF1">
        <w:fldChar w:fldCharType="begin"/>
      </w:r>
      <w:r w:rsidRPr="00621BF1">
        <w:instrText xml:space="preserve"> SEQ Figure \* ARABIC </w:instrText>
      </w:r>
      <w:r w:rsidR="00B51B2E" w:rsidRPr="00621BF1">
        <w:fldChar w:fldCharType="separate"/>
      </w:r>
      <w:r w:rsidR="00DC4EEF">
        <w:rPr>
          <w:noProof/>
        </w:rPr>
        <w:t>7</w:t>
      </w:r>
      <w:r w:rsidR="00B51B2E" w:rsidRPr="00621BF1">
        <w:fldChar w:fldCharType="end"/>
      </w:r>
      <w:r w:rsidRPr="00621BF1">
        <w:t>: Statut des capacités disponible et requise de chaine du froid au niveau régional jusqu’en 2020</w:t>
      </w:r>
      <w:bookmarkEnd w:id="91"/>
    </w:p>
    <w:p w:rsidR="00D04F5B" w:rsidRPr="00621BF1" w:rsidRDefault="00D04F5B" w:rsidP="00D04F5B">
      <w:pPr>
        <w:keepLines/>
        <w:tabs>
          <w:tab w:val="left" w:pos="426"/>
        </w:tabs>
        <w:spacing w:before="120"/>
        <w:jc w:val="both"/>
        <w:rPr>
          <w:rFonts w:eastAsia="Times New Roman" w:cs="Times New Roman"/>
        </w:rPr>
      </w:pPr>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 xml:space="preserve">L’analyse du graphique 13 montre que la capacité de stockage est insuffisante pour le calendrier actuel du PEV et pour l’introduction des nouveaux vaccins dans 6 des régions sanitaires. Elle est suffisante dans seulement 2 des régions sanitaires (Labé et Nzérékoré) jusqu’en 2021. La région de Kankan a une capacité de stockage suffisante  jusqu’en 2019. Ces 3 </w:t>
      </w:r>
      <w:r w:rsidR="0047227C">
        <w:rPr>
          <w:rFonts w:eastAsia="Times New Roman" w:cs="Times New Roman"/>
        </w:rPr>
        <w:t xml:space="preserve">dernières </w:t>
      </w:r>
      <w:r w:rsidRPr="00621BF1">
        <w:rPr>
          <w:rFonts w:eastAsia="Times New Roman" w:cs="Times New Roman"/>
        </w:rPr>
        <w:t xml:space="preserve">régions correspondent aux dépôts </w:t>
      </w:r>
      <w:proofErr w:type="spellStart"/>
      <w:r w:rsidRPr="00621BF1">
        <w:rPr>
          <w:rFonts w:eastAsia="Times New Roman" w:cs="Times New Roman"/>
        </w:rPr>
        <w:t>sub</w:t>
      </w:r>
      <w:proofErr w:type="spellEnd"/>
      <w:r w:rsidRPr="00621BF1">
        <w:rPr>
          <w:rFonts w:eastAsia="Times New Roman" w:cs="Times New Roman"/>
        </w:rPr>
        <w:t>-nationaux disposant de chambres froides de 20m</w:t>
      </w:r>
      <w:r w:rsidRPr="00621BF1">
        <w:rPr>
          <w:rFonts w:eastAsia="Times New Roman" w:cs="Times New Roman"/>
          <w:vertAlign w:val="superscript"/>
        </w:rPr>
        <w:t>3</w:t>
      </w:r>
      <w:r w:rsidRPr="00621BF1">
        <w:rPr>
          <w:rFonts w:eastAsia="Times New Roman" w:cs="Times New Roman"/>
        </w:rPr>
        <w:t xml:space="preserve">. </w:t>
      </w:r>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Ces gaps de capacité de stockage dégagent des besoins en équipements pour le stockage en positi</w:t>
      </w:r>
      <w:r w:rsidR="00070352" w:rsidRPr="00621BF1">
        <w:rPr>
          <w:rFonts w:eastAsia="Times New Roman" w:cs="Times New Roman"/>
        </w:rPr>
        <w:t xml:space="preserve">f représentés dans le Tableau </w:t>
      </w:r>
      <w:r w:rsidRPr="00621BF1">
        <w:rPr>
          <w:rFonts w:eastAsia="Times New Roman" w:cs="Times New Roman"/>
        </w:rPr>
        <w:t>ci-dessous :</w:t>
      </w:r>
    </w:p>
    <w:p w:rsidR="00070352" w:rsidRPr="00621BF1" w:rsidRDefault="00070352" w:rsidP="00070352">
      <w:pPr>
        <w:pStyle w:val="Lgende"/>
        <w:jc w:val="center"/>
        <w:rPr>
          <w:i w:val="0"/>
          <w:sz w:val="18"/>
        </w:rPr>
      </w:pPr>
      <w:bookmarkStart w:id="92" w:name="_Toc456109481"/>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15</w:t>
      </w:r>
      <w:r w:rsidR="00B51B2E" w:rsidRPr="00621BF1">
        <w:fldChar w:fldCharType="end"/>
      </w:r>
      <w:r w:rsidRPr="00621BF1">
        <w:t>: Besoins en équipements de réfrigération par région de 2016 à 2021</w:t>
      </w:r>
      <w:bookmarkEnd w:id="92"/>
    </w:p>
    <w:p w:rsidR="00D04F5B" w:rsidRPr="00621BF1" w:rsidRDefault="00070352" w:rsidP="00070352">
      <w:pPr>
        <w:keepLines/>
        <w:tabs>
          <w:tab w:val="left" w:pos="426"/>
        </w:tabs>
        <w:spacing w:before="120"/>
        <w:jc w:val="both"/>
      </w:pPr>
      <w:r w:rsidRPr="00621BF1">
        <w:rPr>
          <w:rFonts w:cs="Arial"/>
          <w:color w:val="000000" w:themeColor="text1"/>
        </w:rPr>
        <w:lastRenderedPageBreak/>
        <w:t xml:space="preserve">           </w:t>
      </w:r>
      <w:r w:rsidRPr="00621BF1">
        <w:rPr>
          <w:rFonts w:eastAsia="Times New Roman" w:cs="Times New Roman"/>
        </w:rPr>
        <w:t xml:space="preserve">     </w:t>
      </w:r>
      <w:r w:rsidR="00D04F5B" w:rsidRPr="00621BF1">
        <w:rPr>
          <w:rFonts w:cs="Arial"/>
          <w:noProof/>
          <w:color w:val="000000" w:themeColor="text1"/>
          <w:lang w:eastAsia="fr-FR"/>
        </w:rPr>
        <w:drawing>
          <wp:inline distT="0" distB="0" distL="0" distR="0">
            <wp:extent cx="5468620" cy="2950234"/>
            <wp:effectExtent l="0" t="0" r="0" b="254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0549" cy="2967459"/>
                    </a:xfrm>
                    <a:prstGeom prst="rect">
                      <a:avLst/>
                    </a:prstGeom>
                    <a:noFill/>
                  </pic:spPr>
                </pic:pic>
              </a:graphicData>
            </a:graphic>
          </wp:inline>
        </w:drawing>
      </w:r>
      <w:r w:rsidR="00D04F5B" w:rsidRPr="00621BF1">
        <w:rPr>
          <w:rFonts w:eastAsia="Times New Roman" w:cs="Times New Roman"/>
        </w:rPr>
        <w:t xml:space="preserve"> </w:t>
      </w:r>
    </w:p>
    <w:p w:rsidR="00D04F5B" w:rsidRPr="00621BF1" w:rsidRDefault="00D04F5B" w:rsidP="00D04F5B">
      <w:pPr>
        <w:keepLines/>
        <w:tabs>
          <w:tab w:val="left" w:pos="426"/>
        </w:tabs>
        <w:spacing w:before="120" w:line="240" w:lineRule="auto"/>
        <w:jc w:val="both"/>
        <w:rPr>
          <w:rFonts w:eastAsia="Times New Roman" w:cs="Times New Roman"/>
        </w:rPr>
      </w:pPr>
      <w:r w:rsidRPr="00621BF1">
        <w:rPr>
          <w:rFonts w:eastAsia="Times New Roman" w:cs="Times New Roman"/>
        </w:rPr>
        <w:t xml:space="preserve">Cependant, pour éviter les doublons et diminuer les couts d’investissement et de fonctionnement, les directions communales de la sante relevant de la DSVCO (Conakry) pourront s’approvisionner directement au niveau central. Toujours dans le même sens, il serait plus judicieux d’opter pour les 3 dépôts </w:t>
      </w:r>
      <w:proofErr w:type="spellStart"/>
      <w:r w:rsidRPr="00621BF1">
        <w:rPr>
          <w:rFonts w:eastAsia="Times New Roman" w:cs="Times New Roman"/>
        </w:rPr>
        <w:t>sub</w:t>
      </w:r>
      <w:proofErr w:type="spellEnd"/>
      <w:r w:rsidRPr="00621BF1">
        <w:rPr>
          <w:rFonts w:eastAsia="Times New Roman" w:cs="Times New Roman"/>
        </w:rPr>
        <w:t>-nationaux disposant déjà chacune d’une chambre froide de 20m</w:t>
      </w:r>
      <w:r w:rsidRPr="00621BF1">
        <w:rPr>
          <w:rFonts w:eastAsia="Times New Roman" w:cs="Times New Roman"/>
          <w:vertAlign w:val="superscript"/>
        </w:rPr>
        <w:t>3</w:t>
      </w:r>
      <w:r w:rsidRPr="00621BF1">
        <w:rPr>
          <w:rFonts w:eastAsia="Times New Roman" w:cs="Times New Roman"/>
        </w:rPr>
        <w:t xml:space="preserve">. Compte tenu de </w:t>
      </w:r>
      <w:proofErr w:type="gramStart"/>
      <w:r w:rsidRPr="00621BF1">
        <w:rPr>
          <w:rFonts w:eastAsia="Times New Roman" w:cs="Times New Roman"/>
        </w:rPr>
        <w:t>la non</w:t>
      </w:r>
      <w:proofErr w:type="gramEnd"/>
      <w:r w:rsidRPr="00621BF1">
        <w:rPr>
          <w:rFonts w:eastAsia="Times New Roman" w:cs="Times New Roman"/>
        </w:rPr>
        <w:t xml:space="preserve"> disponibilité de l’électricité dans les régions, la solarisation de ces chambres froides s’avèrent nécessaire. </w:t>
      </w:r>
    </w:p>
    <w:p w:rsidR="00D04F5B" w:rsidRPr="00621BF1" w:rsidRDefault="00D04F5B" w:rsidP="00D04F5B">
      <w:pPr>
        <w:keepLines/>
        <w:tabs>
          <w:tab w:val="left" w:pos="426"/>
        </w:tabs>
        <w:spacing w:before="120" w:line="240" w:lineRule="auto"/>
        <w:jc w:val="both"/>
        <w:rPr>
          <w:rFonts w:eastAsia="Times New Roman" w:cs="Times New Roman"/>
        </w:rPr>
      </w:pPr>
      <w:r w:rsidRPr="00621BF1">
        <w:rPr>
          <w:rFonts w:eastAsia="Times New Roman" w:cs="Times New Roman"/>
        </w:rPr>
        <w:t xml:space="preserve">Au niveau régional, le vaccin polio est stocké à température négative. Les capacités additionnelles sont présentées dans le tableau ci-dessous : </w:t>
      </w:r>
    </w:p>
    <w:p w:rsidR="00070352" w:rsidRPr="00621BF1" w:rsidRDefault="00070352" w:rsidP="00D04F5B">
      <w:pPr>
        <w:keepLines/>
        <w:tabs>
          <w:tab w:val="left" w:pos="426"/>
        </w:tabs>
        <w:spacing w:before="120" w:after="0" w:line="240" w:lineRule="auto"/>
        <w:jc w:val="both"/>
        <w:rPr>
          <w:rFonts w:cs="Arial"/>
          <w:b/>
          <w:sz w:val="18"/>
        </w:rPr>
      </w:pPr>
      <w:r w:rsidRPr="00621BF1">
        <w:rPr>
          <w:rFonts w:cs="Arial"/>
          <w:b/>
          <w:sz w:val="18"/>
        </w:rPr>
        <w:t xml:space="preserve">                </w:t>
      </w:r>
    </w:p>
    <w:p w:rsidR="00070352" w:rsidRPr="00621BF1" w:rsidRDefault="00070352" w:rsidP="00070352">
      <w:pPr>
        <w:pStyle w:val="Lgende"/>
        <w:rPr>
          <w:rFonts w:cs="Times New Roman"/>
          <w:i w:val="0"/>
        </w:rPr>
      </w:pPr>
      <w:bookmarkStart w:id="93" w:name="_Toc456109482"/>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16</w:t>
      </w:r>
      <w:r w:rsidR="00B51B2E" w:rsidRPr="00621BF1">
        <w:fldChar w:fldCharType="end"/>
      </w:r>
      <w:r w:rsidRPr="00621BF1">
        <w:t>: Capacité additionnelle de stockage en congélation au niveau régional (litres) de 2016 à 2021</w:t>
      </w:r>
      <w:bookmarkEnd w:id="93"/>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 xml:space="preserve">             </w:t>
      </w:r>
      <w:r w:rsidRPr="00621BF1">
        <w:rPr>
          <w:noProof/>
          <w:lang w:eastAsia="fr-FR"/>
        </w:rPr>
        <w:drawing>
          <wp:inline distT="0" distB="0" distL="0" distR="0">
            <wp:extent cx="5042848" cy="2099138"/>
            <wp:effectExtent l="0" t="0" r="5715"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2848" cy="2099138"/>
                    </a:xfrm>
                    <a:prstGeom prst="rect">
                      <a:avLst/>
                    </a:prstGeom>
                    <a:noFill/>
                    <a:ln>
                      <a:noFill/>
                    </a:ln>
                  </pic:spPr>
                </pic:pic>
              </a:graphicData>
            </a:graphic>
          </wp:inline>
        </w:drawing>
      </w:r>
    </w:p>
    <w:p w:rsidR="00D04F5B" w:rsidRDefault="00070352" w:rsidP="00D04F5B">
      <w:pPr>
        <w:keepLines/>
        <w:tabs>
          <w:tab w:val="left" w:pos="426"/>
        </w:tabs>
        <w:spacing w:before="120"/>
        <w:jc w:val="both"/>
        <w:rPr>
          <w:rFonts w:eastAsia="Times New Roman" w:cs="Times New Roman"/>
        </w:rPr>
      </w:pPr>
      <w:r w:rsidRPr="00621BF1">
        <w:rPr>
          <w:rFonts w:eastAsia="Times New Roman" w:cs="Times New Roman"/>
        </w:rPr>
        <w:t xml:space="preserve">              Le tableau 16</w:t>
      </w:r>
      <w:r w:rsidR="00D04F5B" w:rsidRPr="00621BF1">
        <w:rPr>
          <w:rFonts w:eastAsia="Times New Roman" w:cs="Times New Roman"/>
        </w:rPr>
        <w:t xml:space="preserve"> présente ci-dessous présente les besoins en équipements de congélation : </w:t>
      </w:r>
    </w:p>
    <w:p w:rsidR="00070352" w:rsidRPr="00621BF1" w:rsidRDefault="00070352" w:rsidP="00070352">
      <w:pPr>
        <w:pStyle w:val="Lgende"/>
        <w:jc w:val="center"/>
        <w:rPr>
          <w:rFonts w:cs="Times New Roman"/>
        </w:rPr>
      </w:pPr>
      <w:bookmarkStart w:id="94" w:name="_Toc456109483"/>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17</w:t>
      </w:r>
      <w:r w:rsidR="00B51B2E" w:rsidRPr="00621BF1">
        <w:fldChar w:fldCharType="end"/>
      </w:r>
      <w:r w:rsidRPr="00621BF1">
        <w:t>: Besoins en équipements de congélation au niveau régional par année</w:t>
      </w:r>
      <w:bookmarkEnd w:id="94"/>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lastRenderedPageBreak/>
        <w:t xml:space="preserve">                    </w:t>
      </w:r>
      <w:r w:rsidRPr="00621BF1">
        <w:rPr>
          <w:rFonts w:eastAsia="Calibri" w:cs="Times New Roman"/>
          <w:noProof/>
          <w:lang w:eastAsia="fr-FR"/>
        </w:rPr>
        <w:drawing>
          <wp:inline distT="0" distB="0" distL="0" distR="0">
            <wp:extent cx="4694830" cy="1954273"/>
            <wp:effectExtent l="0" t="0" r="0" b="825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830" cy="1954273"/>
                    </a:xfrm>
                    <a:prstGeom prst="rect">
                      <a:avLst/>
                    </a:prstGeom>
                    <a:noFill/>
                    <a:ln>
                      <a:noFill/>
                    </a:ln>
                  </pic:spPr>
                </pic:pic>
              </a:graphicData>
            </a:graphic>
          </wp:inline>
        </w:drawing>
      </w:r>
    </w:p>
    <w:p w:rsidR="0047227C" w:rsidRPr="00621BF1" w:rsidRDefault="0047227C" w:rsidP="0047227C">
      <w:pPr>
        <w:keepLines/>
        <w:tabs>
          <w:tab w:val="left" w:pos="426"/>
        </w:tabs>
        <w:spacing w:before="120"/>
        <w:jc w:val="both"/>
        <w:rPr>
          <w:rFonts w:eastAsia="Times New Roman" w:cs="Times New Roman"/>
        </w:rPr>
      </w:pPr>
      <w:r w:rsidRPr="00621BF1">
        <w:rPr>
          <w:rFonts w:eastAsia="Times New Roman" w:cs="Times New Roman"/>
        </w:rPr>
        <w:t xml:space="preserve">Seules les régions de Boké, Faranah et Labé ont un besoin en équipement </w:t>
      </w:r>
      <w:r>
        <w:rPr>
          <w:rFonts w:eastAsia="Times New Roman" w:cs="Times New Roman"/>
        </w:rPr>
        <w:t xml:space="preserve">de la </w:t>
      </w:r>
      <w:r w:rsidRPr="00621BF1">
        <w:rPr>
          <w:rFonts w:eastAsia="Times New Roman" w:cs="Times New Roman"/>
        </w:rPr>
        <w:t>chaine du froid pour le stockage du vaccin polio.</w:t>
      </w:r>
    </w:p>
    <w:p w:rsidR="0047227C" w:rsidRPr="00621BF1" w:rsidRDefault="0047227C" w:rsidP="0047227C">
      <w:pPr>
        <w:keepLines/>
        <w:tabs>
          <w:tab w:val="left" w:pos="426"/>
        </w:tabs>
        <w:spacing w:before="120"/>
        <w:jc w:val="both"/>
        <w:rPr>
          <w:rFonts w:eastAsia="Times New Roman" w:cs="Times New Roman"/>
        </w:rPr>
      </w:pPr>
      <w:r w:rsidRPr="00621BF1">
        <w:rPr>
          <w:rFonts w:eastAsia="Times New Roman" w:cs="Times New Roman"/>
        </w:rPr>
        <w:t xml:space="preserve">La Guinée envisage une étude d’ici la fin de l’année 2016 afin d’optimiser sa chaine d’approvisionnement. Les résultats de cette évaluation détermineront l’option à mettre en place au niveau intermédiaire et périphérique pour améliorer le système de distribution et éviter ainsi les nombreuses ruptures </w:t>
      </w:r>
      <w:r>
        <w:rPr>
          <w:rFonts w:eastAsia="Times New Roman" w:cs="Times New Roman"/>
        </w:rPr>
        <w:t xml:space="preserve">de vaccins </w:t>
      </w:r>
      <w:r w:rsidRPr="00621BF1">
        <w:rPr>
          <w:rFonts w:eastAsia="Times New Roman" w:cs="Times New Roman"/>
        </w:rPr>
        <w:t>constatées</w:t>
      </w:r>
      <w:r>
        <w:rPr>
          <w:rFonts w:eastAsia="Times New Roman" w:cs="Times New Roman"/>
        </w:rPr>
        <w:t xml:space="preserve"> çà et là</w:t>
      </w:r>
      <w:r w:rsidRPr="00621BF1">
        <w:rPr>
          <w:rFonts w:eastAsia="Times New Roman" w:cs="Times New Roman"/>
        </w:rPr>
        <w:t xml:space="preserve">. </w:t>
      </w:r>
    </w:p>
    <w:p w:rsidR="0047227C" w:rsidRPr="00621BF1" w:rsidRDefault="0047227C" w:rsidP="0047227C">
      <w:pPr>
        <w:pStyle w:val="Titre4"/>
      </w:pPr>
      <w:r w:rsidRPr="00621BF1">
        <w:t xml:space="preserve">Niveau district </w:t>
      </w:r>
    </w:p>
    <w:p w:rsidR="0047227C" w:rsidRPr="00621BF1" w:rsidRDefault="0047227C" w:rsidP="0047227C">
      <w:pPr>
        <w:keepLines/>
        <w:tabs>
          <w:tab w:val="left" w:pos="426"/>
        </w:tabs>
        <w:spacing w:before="120"/>
        <w:jc w:val="both"/>
        <w:rPr>
          <w:rFonts w:eastAsia="Times New Roman" w:cs="Times New Roman"/>
        </w:rPr>
      </w:pPr>
      <w:r w:rsidRPr="00621BF1">
        <w:rPr>
          <w:rFonts w:eastAsia="Times New Roman" w:cs="Times New Roman"/>
        </w:rPr>
        <w:t>Le pays compte au total 38 districts sanitaires. Ils sont approvisionnés par le niveau central à un rythme trimestriel. Chaque district dispose d’un réfrigérateur pour le stockage de tous les vaccins</w:t>
      </w:r>
      <w:r>
        <w:rPr>
          <w:rFonts w:eastAsia="Times New Roman" w:cs="Times New Roman"/>
        </w:rPr>
        <w:t xml:space="preserve"> avec une faible capacité de stockage</w:t>
      </w:r>
      <w:r w:rsidRPr="00621BF1">
        <w:rPr>
          <w:rFonts w:eastAsia="Times New Roman" w:cs="Times New Roman"/>
        </w:rPr>
        <w:t xml:space="preserve">. Le statut des capacités de stockage disponibles au niveau des districts sont représentées dans tableau </w:t>
      </w:r>
      <w:r>
        <w:rPr>
          <w:rFonts w:eastAsia="Times New Roman" w:cs="Times New Roman"/>
        </w:rPr>
        <w:t>9</w:t>
      </w:r>
      <w:r w:rsidRPr="00621BF1">
        <w:rPr>
          <w:rFonts w:eastAsia="Times New Roman" w:cs="Times New Roman"/>
        </w:rPr>
        <w:t xml:space="preserve"> ci-dessous:</w:t>
      </w:r>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w:t>
      </w:r>
    </w:p>
    <w:p w:rsidR="00D04F5B" w:rsidRPr="00621BF1" w:rsidRDefault="00D04F5B" w:rsidP="00D04F5B">
      <w:pPr>
        <w:keepLines/>
        <w:tabs>
          <w:tab w:val="left" w:pos="426"/>
        </w:tabs>
        <w:spacing w:before="120"/>
        <w:jc w:val="both"/>
        <w:rPr>
          <w:rFonts w:eastAsia="Times New Roman" w:cs="Times New Roman"/>
        </w:rPr>
      </w:pPr>
    </w:p>
    <w:p w:rsidR="00070352" w:rsidRPr="00621BF1" w:rsidRDefault="00070352" w:rsidP="00D04F5B">
      <w:pPr>
        <w:keepLines/>
        <w:tabs>
          <w:tab w:val="left" w:pos="426"/>
        </w:tabs>
        <w:spacing w:before="120"/>
        <w:jc w:val="both"/>
        <w:rPr>
          <w:rFonts w:eastAsia="Times New Roman" w:cs="Times New Roman"/>
        </w:rPr>
      </w:pPr>
    </w:p>
    <w:p w:rsidR="00070352" w:rsidRPr="00621BF1" w:rsidRDefault="00070352" w:rsidP="00D04F5B">
      <w:pPr>
        <w:keepLines/>
        <w:tabs>
          <w:tab w:val="left" w:pos="426"/>
        </w:tabs>
        <w:spacing w:before="120"/>
        <w:jc w:val="both"/>
        <w:rPr>
          <w:rFonts w:eastAsia="Times New Roman" w:cs="Times New Roman"/>
        </w:rPr>
      </w:pPr>
    </w:p>
    <w:p w:rsidR="00D04F5B" w:rsidRPr="00621BF1" w:rsidRDefault="00D04F5B" w:rsidP="00070352">
      <w:pPr>
        <w:keepLines/>
        <w:tabs>
          <w:tab w:val="left" w:pos="426"/>
        </w:tabs>
        <w:spacing w:before="120"/>
        <w:jc w:val="center"/>
        <w:rPr>
          <w:rFonts w:cs="Arial"/>
          <w:i/>
          <w:sz w:val="18"/>
        </w:rPr>
      </w:pPr>
      <w:r w:rsidRPr="00621BF1">
        <w:rPr>
          <w:rFonts w:eastAsia="Times New Roman" w:cs="Times New Roman"/>
          <w:i/>
          <w:noProof/>
          <w:lang w:eastAsia="fr-FR"/>
        </w:rPr>
        <w:lastRenderedPageBreak/>
        <w:drawing>
          <wp:inline distT="0" distB="0" distL="0" distR="0">
            <wp:extent cx="4817186" cy="3501844"/>
            <wp:effectExtent l="0" t="0" r="2540" b="381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212" cy="3546934"/>
                    </a:xfrm>
                    <a:prstGeom prst="rect">
                      <a:avLst/>
                    </a:prstGeom>
                    <a:noFill/>
                  </pic:spPr>
                </pic:pic>
              </a:graphicData>
            </a:graphic>
          </wp:inline>
        </w:drawing>
      </w:r>
    </w:p>
    <w:p w:rsidR="00070352" w:rsidRPr="00621BF1" w:rsidRDefault="00070352" w:rsidP="00070352">
      <w:pPr>
        <w:pStyle w:val="Lgende"/>
        <w:rPr>
          <w:rFonts w:cs="Times New Roman"/>
        </w:rPr>
      </w:pPr>
      <w:r w:rsidRPr="00621BF1">
        <w:t xml:space="preserve">         </w:t>
      </w:r>
      <w:bookmarkStart w:id="95" w:name="_Toc456109505"/>
      <w:r w:rsidRPr="00621BF1">
        <w:t xml:space="preserve">Figure </w:t>
      </w:r>
      <w:r w:rsidR="00B51B2E" w:rsidRPr="00621BF1">
        <w:fldChar w:fldCharType="begin"/>
      </w:r>
      <w:r w:rsidRPr="00621BF1">
        <w:instrText xml:space="preserve"> SEQ Figure \* ARABIC </w:instrText>
      </w:r>
      <w:r w:rsidR="00B51B2E" w:rsidRPr="00621BF1">
        <w:fldChar w:fldCharType="separate"/>
      </w:r>
      <w:r w:rsidR="00DC4EEF">
        <w:rPr>
          <w:noProof/>
        </w:rPr>
        <w:t>8</w:t>
      </w:r>
      <w:r w:rsidR="00B51B2E" w:rsidRPr="00621BF1">
        <w:fldChar w:fldCharType="end"/>
      </w:r>
      <w:r w:rsidRPr="00621BF1">
        <w:t>: Statut des capacités disponible et requise de chaine du froid au niveau régional jusqu’en 2020</w:t>
      </w:r>
      <w:bookmarkEnd w:id="95"/>
    </w:p>
    <w:p w:rsidR="00D04F5B" w:rsidRPr="00621BF1" w:rsidRDefault="00D04F5B" w:rsidP="00070352">
      <w:pPr>
        <w:keepLines/>
        <w:tabs>
          <w:tab w:val="left" w:pos="426"/>
        </w:tabs>
        <w:spacing w:before="120"/>
        <w:jc w:val="center"/>
        <w:rPr>
          <w:rFonts w:eastAsia="Times New Roman" w:cs="Times New Roman"/>
          <w:lang w:val="fr-BE"/>
        </w:rPr>
      </w:pPr>
    </w:p>
    <w:p w:rsidR="00D04F5B" w:rsidRPr="00621BF1" w:rsidRDefault="00D04F5B" w:rsidP="00D04F5B">
      <w:pPr>
        <w:keepLines/>
        <w:tabs>
          <w:tab w:val="left" w:pos="426"/>
        </w:tabs>
        <w:spacing w:before="120"/>
        <w:jc w:val="both"/>
        <w:rPr>
          <w:rFonts w:eastAsia="Times New Roman" w:cs="Times New Roman"/>
        </w:rPr>
      </w:pPr>
    </w:p>
    <w:p w:rsidR="00D04F5B" w:rsidRPr="00621BF1" w:rsidRDefault="00D04F5B" w:rsidP="00D04F5B">
      <w:pPr>
        <w:keepLines/>
        <w:tabs>
          <w:tab w:val="left" w:pos="426"/>
        </w:tabs>
        <w:spacing w:before="120"/>
        <w:jc w:val="both"/>
        <w:rPr>
          <w:rFonts w:eastAsia="Times New Roman" w:cs="Times New Roman"/>
        </w:rPr>
      </w:pPr>
    </w:p>
    <w:p w:rsidR="00D04F5B" w:rsidRPr="00621BF1" w:rsidRDefault="00D04F5B" w:rsidP="00D04F5B">
      <w:pPr>
        <w:keepLines/>
        <w:tabs>
          <w:tab w:val="left" w:pos="426"/>
        </w:tabs>
        <w:spacing w:before="120"/>
        <w:jc w:val="both"/>
        <w:rPr>
          <w:rFonts w:eastAsia="Times New Roman" w:cs="Times New Roman"/>
        </w:rPr>
      </w:pPr>
    </w:p>
    <w:p w:rsidR="00D04F5B" w:rsidRPr="00621BF1" w:rsidRDefault="00D04F5B" w:rsidP="00D04F5B">
      <w:pPr>
        <w:keepLines/>
        <w:tabs>
          <w:tab w:val="left" w:pos="426"/>
        </w:tabs>
        <w:spacing w:before="120"/>
        <w:jc w:val="both"/>
        <w:rPr>
          <w:rFonts w:eastAsia="Times New Roman" w:cs="Times New Roman"/>
        </w:rPr>
      </w:pPr>
    </w:p>
    <w:p w:rsidR="00D04F5B" w:rsidRPr="00621BF1" w:rsidRDefault="00D04F5B" w:rsidP="00D04F5B">
      <w:pPr>
        <w:keepLines/>
        <w:tabs>
          <w:tab w:val="left" w:pos="426"/>
        </w:tabs>
        <w:spacing w:before="120"/>
        <w:jc w:val="both"/>
        <w:rPr>
          <w:rFonts w:eastAsia="Times New Roman" w:cs="Times New Roman"/>
        </w:rPr>
      </w:pPr>
    </w:p>
    <w:p w:rsidR="00D04F5B" w:rsidRPr="00621BF1" w:rsidRDefault="00D04F5B" w:rsidP="00D04F5B">
      <w:pPr>
        <w:keepLines/>
        <w:tabs>
          <w:tab w:val="left" w:pos="426"/>
        </w:tabs>
        <w:spacing w:before="120"/>
        <w:jc w:val="both"/>
        <w:rPr>
          <w:rFonts w:eastAsia="Times New Roman" w:cs="Times New Roman"/>
        </w:rPr>
      </w:pPr>
    </w:p>
    <w:p w:rsidR="00D04F5B" w:rsidRPr="00621BF1" w:rsidRDefault="00D04F5B" w:rsidP="00D04F5B">
      <w:pPr>
        <w:keepLines/>
        <w:tabs>
          <w:tab w:val="left" w:pos="426"/>
        </w:tabs>
        <w:spacing w:before="120"/>
        <w:jc w:val="both"/>
        <w:rPr>
          <w:rFonts w:eastAsia="Times New Roman" w:cs="Times New Roman"/>
        </w:rPr>
      </w:pPr>
    </w:p>
    <w:p w:rsidR="00D04F5B" w:rsidRPr="00621BF1" w:rsidRDefault="00D04F5B" w:rsidP="00D04F5B">
      <w:pPr>
        <w:keepLines/>
        <w:tabs>
          <w:tab w:val="left" w:pos="426"/>
        </w:tabs>
        <w:spacing w:before="120"/>
        <w:jc w:val="both"/>
        <w:rPr>
          <w:rFonts w:eastAsia="Times New Roman" w:cs="Times New Roman"/>
        </w:rPr>
      </w:pPr>
    </w:p>
    <w:p w:rsidR="00D04F5B" w:rsidRPr="00621BF1" w:rsidRDefault="00D04F5B" w:rsidP="00D04F5B">
      <w:pPr>
        <w:keepLines/>
        <w:tabs>
          <w:tab w:val="left" w:pos="426"/>
        </w:tabs>
        <w:spacing w:before="120" w:after="0"/>
        <w:jc w:val="both"/>
        <w:rPr>
          <w:rFonts w:eastAsia="Times New Roman" w:cs="Times New Roman"/>
        </w:rPr>
      </w:pPr>
    </w:p>
    <w:p w:rsidR="00D04F5B" w:rsidRPr="00621BF1" w:rsidRDefault="00D04F5B" w:rsidP="00D04F5B">
      <w:pPr>
        <w:keepLines/>
        <w:tabs>
          <w:tab w:val="left" w:pos="426"/>
        </w:tabs>
        <w:spacing w:before="120" w:after="0"/>
        <w:jc w:val="both"/>
        <w:rPr>
          <w:rFonts w:cs="Arial"/>
          <w:b/>
          <w:sz w:val="16"/>
        </w:rPr>
      </w:pPr>
    </w:p>
    <w:p w:rsidR="00D04F5B" w:rsidRPr="00621BF1" w:rsidRDefault="00D04F5B" w:rsidP="00D04F5B">
      <w:pPr>
        <w:keepLines/>
        <w:tabs>
          <w:tab w:val="left" w:pos="426"/>
        </w:tabs>
        <w:spacing w:before="120" w:after="0"/>
        <w:jc w:val="both"/>
        <w:rPr>
          <w:rFonts w:cs="Arial"/>
          <w:b/>
          <w:sz w:val="16"/>
        </w:rPr>
      </w:pPr>
    </w:p>
    <w:p w:rsidR="00070352" w:rsidRPr="00621BF1" w:rsidRDefault="00070352" w:rsidP="00D04F5B">
      <w:pPr>
        <w:keepLines/>
        <w:tabs>
          <w:tab w:val="left" w:pos="426"/>
        </w:tabs>
        <w:spacing w:before="120" w:after="0"/>
        <w:jc w:val="both"/>
        <w:rPr>
          <w:rFonts w:cs="Arial"/>
          <w:b/>
          <w:sz w:val="16"/>
        </w:rPr>
      </w:pPr>
    </w:p>
    <w:p w:rsidR="00070352" w:rsidRPr="00621BF1" w:rsidRDefault="00070352" w:rsidP="00D04F5B">
      <w:pPr>
        <w:keepLines/>
        <w:tabs>
          <w:tab w:val="left" w:pos="426"/>
        </w:tabs>
        <w:spacing w:before="120" w:after="0"/>
        <w:jc w:val="both"/>
        <w:rPr>
          <w:rFonts w:cs="Arial"/>
          <w:b/>
          <w:sz w:val="16"/>
        </w:rPr>
      </w:pPr>
    </w:p>
    <w:p w:rsidR="00070352" w:rsidRPr="00621BF1" w:rsidRDefault="00070352" w:rsidP="00D04F5B">
      <w:pPr>
        <w:keepLines/>
        <w:tabs>
          <w:tab w:val="left" w:pos="426"/>
        </w:tabs>
        <w:spacing w:before="120" w:after="0"/>
        <w:jc w:val="both"/>
        <w:rPr>
          <w:rFonts w:cs="Arial"/>
          <w:b/>
          <w:sz w:val="16"/>
        </w:rPr>
      </w:pPr>
    </w:p>
    <w:p w:rsidR="00070352" w:rsidRPr="00621BF1" w:rsidRDefault="00070352" w:rsidP="00D04F5B">
      <w:pPr>
        <w:keepLines/>
        <w:tabs>
          <w:tab w:val="left" w:pos="426"/>
        </w:tabs>
        <w:spacing w:before="120" w:after="0"/>
        <w:jc w:val="both"/>
        <w:rPr>
          <w:rFonts w:cs="Arial"/>
          <w:b/>
          <w:sz w:val="16"/>
        </w:rPr>
      </w:pPr>
    </w:p>
    <w:p w:rsidR="00070352" w:rsidRPr="00621BF1" w:rsidRDefault="00070352" w:rsidP="00D04F5B">
      <w:pPr>
        <w:keepLines/>
        <w:tabs>
          <w:tab w:val="left" w:pos="426"/>
        </w:tabs>
        <w:spacing w:before="120" w:after="0"/>
        <w:jc w:val="both"/>
        <w:rPr>
          <w:rFonts w:cs="Arial"/>
          <w:b/>
          <w:sz w:val="16"/>
        </w:rPr>
      </w:pPr>
    </w:p>
    <w:p w:rsidR="00070352" w:rsidRPr="00621BF1" w:rsidRDefault="00070352" w:rsidP="00070352">
      <w:pPr>
        <w:pStyle w:val="Lgende"/>
        <w:jc w:val="center"/>
        <w:rPr>
          <w:b/>
          <w:sz w:val="16"/>
        </w:rPr>
      </w:pPr>
      <w:bookmarkStart w:id="96" w:name="_Toc456109484"/>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18</w:t>
      </w:r>
      <w:r w:rsidR="00B51B2E" w:rsidRPr="00621BF1">
        <w:fldChar w:fldCharType="end"/>
      </w:r>
      <w:r w:rsidRPr="00621BF1">
        <w:t xml:space="preserve">: Capacité additionnelle de </w:t>
      </w:r>
      <w:proofErr w:type="spellStart"/>
      <w:r w:rsidRPr="00621BF1">
        <w:t>CdF</w:t>
      </w:r>
      <w:proofErr w:type="spellEnd"/>
      <w:r w:rsidRPr="00621BF1">
        <w:t xml:space="preserve"> avec les capacités existantes (litres)</w:t>
      </w:r>
      <w:bookmarkEnd w:id="96"/>
    </w:p>
    <w:p w:rsidR="00D04F5B" w:rsidRPr="00621BF1" w:rsidRDefault="00D04F5B" w:rsidP="00D04F5B">
      <w:pPr>
        <w:keepLines/>
        <w:tabs>
          <w:tab w:val="left" w:pos="426"/>
        </w:tabs>
        <w:spacing w:before="120"/>
        <w:jc w:val="both"/>
        <w:rPr>
          <w:rFonts w:eastAsia="Times New Roman" w:cs="Times New Roman"/>
          <w:sz w:val="10"/>
        </w:rPr>
      </w:pPr>
      <w:r w:rsidRPr="00621BF1">
        <w:rPr>
          <w:rFonts w:eastAsia="Times New Roman" w:cs="Times New Roman"/>
          <w:sz w:val="10"/>
        </w:rPr>
        <w:t xml:space="preserve">                                                            </w:t>
      </w:r>
      <w:r w:rsidRPr="00621BF1">
        <w:rPr>
          <w:noProof/>
          <w:lang w:eastAsia="fr-FR"/>
        </w:rPr>
        <w:drawing>
          <wp:inline distT="0" distB="0" distL="0" distR="0">
            <wp:extent cx="6322695" cy="5253487"/>
            <wp:effectExtent l="0" t="0" r="190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4399" cy="5279830"/>
                    </a:xfrm>
                    <a:prstGeom prst="rect">
                      <a:avLst/>
                    </a:prstGeom>
                    <a:noFill/>
                    <a:ln>
                      <a:noFill/>
                    </a:ln>
                  </pic:spPr>
                </pic:pic>
              </a:graphicData>
            </a:graphic>
          </wp:inline>
        </w:drawing>
      </w:r>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 xml:space="preserve">Le Graphique 14 et le Tableau </w:t>
      </w:r>
      <w:r w:rsidR="0047227C">
        <w:rPr>
          <w:rFonts w:eastAsia="Times New Roman" w:cs="Times New Roman"/>
        </w:rPr>
        <w:t>1</w:t>
      </w:r>
      <w:r w:rsidRPr="00621BF1">
        <w:rPr>
          <w:rFonts w:eastAsia="Times New Roman" w:cs="Times New Roman"/>
        </w:rPr>
        <w:t xml:space="preserve">8 montrent que les capacités de stockage sont suffisantes dans neuf (09) districts sur les 38 que compte le pays.  La capacité des 29 autres doit être renforcée pour l’introduction des nouveaux vaccins à partir de 2018. Les nombres et types d’équipement requis en réfrigération au niveau district sont présentés dans le tableau ci-dessous : </w:t>
      </w:r>
    </w:p>
    <w:p w:rsidR="00070352" w:rsidRPr="00621BF1" w:rsidRDefault="00D04F5B" w:rsidP="00D04F5B">
      <w:pPr>
        <w:spacing w:after="0" w:line="240" w:lineRule="auto"/>
        <w:jc w:val="both"/>
        <w:rPr>
          <w:rFonts w:eastAsia="Times New Roman" w:cs="Times New Roman"/>
          <w:b/>
          <w:bCs/>
          <w:color w:val="000000"/>
          <w:sz w:val="16"/>
          <w:szCs w:val="28"/>
        </w:rPr>
      </w:pPr>
      <w:r w:rsidRPr="00621BF1">
        <w:rPr>
          <w:rFonts w:eastAsia="Times New Roman" w:cs="Times New Roman"/>
          <w:b/>
          <w:bCs/>
          <w:color w:val="000000"/>
          <w:sz w:val="16"/>
          <w:szCs w:val="28"/>
        </w:rPr>
        <w:t xml:space="preserve">                               </w:t>
      </w:r>
    </w:p>
    <w:p w:rsidR="00070352" w:rsidRPr="00621BF1" w:rsidRDefault="00070352" w:rsidP="00070352">
      <w:r w:rsidRPr="00621BF1">
        <w:br w:type="page"/>
      </w:r>
    </w:p>
    <w:p w:rsidR="00070352" w:rsidRPr="00621BF1" w:rsidRDefault="00070352" w:rsidP="00070352">
      <w:pPr>
        <w:pStyle w:val="Lgende"/>
      </w:pPr>
      <w:bookmarkStart w:id="97" w:name="_Toc456109485"/>
      <w:r w:rsidRPr="00621BF1">
        <w:lastRenderedPageBreak/>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19</w:t>
      </w:r>
      <w:r w:rsidR="00B51B2E" w:rsidRPr="00621BF1">
        <w:fldChar w:fldCharType="end"/>
      </w:r>
      <w:r w:rsidRPr="00621BF1">
        <w:t>: Nombre et types d’équipements requis de réfrigération</w:t>
      </w:r>
      <w:bookmarkEnd w:id="97"/>
    </w:p>
    <w:p w:rsidR="00D04F5B" w:rsidRPr="00621BF1" w:rsidRDefault="00D04F5B" w:rsidP="00D04F5B">
      <w:pPr>
        <w:keepLines/>
        <w:tabs>
          <w:tab w:val="left" w:pos="426"/>
        </w:tabs>
        <w:spacing w:before="120"/>
        <w:jc w:val="center"/>
        <w:rPr>
          <w:rFonts w:eastAsia="Times New Roman" w:cs="Times New Roman"/>
        </w:rPr>
      </w:pPr>
      <w:r w:rsidRPr="00621BF1">
        <w:rPr>
          <w:noProof/>
          <w:lang w:eastAsia="fr-FR"/>
        </w:rPr>
        <w:drawing>
          <wp:inline distT="0" distB="0" distL="0" distR="0">
            <wp:extent cx="6619053" cy="5332730"/>
            <wp:effectExtent l="0" t="0" r="0" b="127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19053" cy="5332730"/>
                    </a:xfrm>
                    <a:prstGeom prst="rect">
                      <a:avLst/>
                    </a:prstGeom>
                    <a:noFill/>
                    <a:ln>
                      <a:noFill/>
                    </a:ln>
                  </pic:spPr>
                </pic:pic>
              </a:graphicData>
            </a:graphic>
          </wp:inline>
        </w:drawing>
      </w:r>
    </w:p>
    <w:p w:rsidR="00D04F5B" w:rsidRPr="00621BF1" w:rsidRDefault="00D04F5B" w:rsidP="00070352">
      <w:pPr>
        <w:pStyle w:val="Titre4"/>
      </w:pPr>
      <w:r w:rsidRPr="00621BF1">
        <w:t>Niveau Centre de santé</w:t>
      </w:r>
    </w:p>
    <w:p w:rsidR="00D04F5B" w:rsidRPr="00621BF1" w:rsidRDefault="00D04F5B" w:rsidP="00D04F5B">
      <w:pPr>
        <w:spacing w:after="0" w:line="240" w:lineRule="auto"/>
        <w:rPr>
          <w:rFonts w:eastAsia="Times New Roman" w:cs="Times New Roman"/>
        </w:rPr>
      </w:pPr>
      <w:r w:rsidRPr="00621BF1">
        <w:rPr>
          <w:rFonts w:eastAsia="Times New Roman" w:cs="Times New Roman"/>
        </w:rPr>
        <w:t>Un total de 41</w:t>
      </w:r>
      <w:r w:rsidR="00B4368A">
        <w:rPr>
          <w:rFonts w:eastAsia="Times New Roman" w:cs="Times New Roman"/>
        </w:rPr>
        <w:t>3</w:t>
      </w:r>
      <w:r w:rsidRPr="00621BF1">
        <w:rPr>
          <w:rFonts w:eastAsia="Times New Roman" w:cs="Times New Roman"/>
        </w:rPr>
        <w:t xml:space="preserve"> centres de santé offre les services de vaccination. Chaque centre est équipé d’un réfrigérateur pour le stockage des vaccins.  </w:t>
      </w:r>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 xml:space="preserve">L’inventaire réalisé en 2016 a recensé 485 équipements dont 482 réfrigérateurs et 3 congélateurs. Parmi ces réfrigérateurs, 65 soit 13% marchent avec nécessité </w:t>
      </w:r>
      <w:r w:rsidR="0047227C">
        <w:rPr>
          <w:rFonts w:eastAsia="Times New Roman" w:cs="Times New Roman"/>
        </w:rPr>
        <w:t xml:space="preserve"> de réparation </w:t>
      </w:r>
      <w:r w:rsidRPr="00621BF1">
        <w:rPr>
          <w:rFonts w:eastAsia="Times New Roman" w:cs="Times New Roman"/>
        </w:rPr>
        <w:t xml:space="preserve">et 89 soit 18% en arrêt pour panne. Bien que le pays soit engagé dans le système solaire depuis 2007, 118 soit 27% des réfrigérateurs au niveau centre de sante fonctionnent au pétrole. 288 soit 47% répondent aux normes PQS et 320 soit  294 soit 52% sont non PQS. Seulement 52% ne répondent pas aux normes PQS. Ci-dessous la situation des réfrigérateurs à remplacer au niveau </w:t>
      </w:r>
      <w:r w:rsidR="0047227C">
        <w:rPr>
          <w:rFonts w:eastAsia="Times New Roman" w:cs="Times New Roman"/>
        </w:rPr>
        <w:t xml:space="preserve">des </w:t>
      </w:r>
      <w:r w:rsidRPr="00621BF1">
        <w:rPr>
          <w:rFonts w:eastAsia="Times New Roman" w:cs="Times New Roman"/>
        </w:rPr>
        <w:t>centre</w:t>
      </w:r>
      <w:r w:rsidR="0047227C">
        <w:rPr>
          <w:rFonts w:eastAsia="Times New Roman" w:cs="Times New Roman"/>
        </w:rPr>
        <w:t>s</w:t>
      </w:r>
      <w:r w:rsidRPr="00621BF1">
        <w:rPr>
          <w:rFonts w:eastAsia="Times New Roman" w:cs="Times New Roman"/>
        </w:rPr>
        <w:t xml:space="preserve"> de santé dans chaque région :</w:t>
      </w:r>
    </w:p>
    <w:p w:rsidR="00070352" w:rsidRPr="00621BF1" w:rsidRDefault="00070352" w:rsidP="00D04F5B">
      <w:pPr>
        <w:keepLines/>
        <w:tabs>
          <w:tab w:val="left" w:pos="426"/>
        </w:tabs>
        <w:spacing w:before="120"/>
        <w:jc w:val="both"/>
        <w:rPr>
          <w:rFonts w:eastAsia="Times New Roman" w:cs="Times New Roman"/>
        </w:rPr>
      </w:pPr>
    </w:p>
    <w:p w:rsidR="00070352" w:rsidRPr="00621BF1" w:rsidRDefault="00070352" w:rsidP="00D04F5B">
      <w:pPr>
        <w:keepLines/>
        <w:tabs>
          <w:tab w:val="left" w:pos="426"/>
        </w:tabs>
        <w:spacing w:before="120"/>
        <w:jc w:val="both"/>
        <w:rPr>
          <w:rFonts w:eastAsia="Times New Roman" w:cs="Times New Roman"/>
        </w:rPr>
      </w:pPr>
    </w:p>
    <w:p w:rsidR="00070352" w:rsidRPr="00621BF1" w:rsidRDefault="00070352" w:rsidP="00070352">
      <w:pPr>
        <w:pStyle w:val="Lgende"/>
        <w:jc w:val="center"/>
        <w:rPr>
          <w:rFonts w:cs="Times New Roman"/>
        </w:rPr>
      </w:pPr>
      <w:bookmarkStart w:id="98" w:name="_Toc456109486"/>
      <w:r w:rsidRPr="00621BF1">
        <w:lastRenderedPageBreak/>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20</w:t>
      </w:r>
      <w:r w:rsidR="00B51B2E" w:rsidRPr="00621BF1">
        <w:fldChar w:fldCharType="end"/>
      </w:r>
      <w:r w:rsidRPr="00621BF1">
        <w:t>: Nombre d’équipements à remplacer au niveau centre de sante de 2017 à 2021</w:t>
      </w:r>
      <w:bookmarkEnd w:id="98"/>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 xml:space="preserve">                  </w:t>
      </w:r>
      <w:r w:rsidRPr="00621BF1">
        <w:rPr>
          <w:noProof/>
          <w:lang w:eastAsia="fr-FR"/>
        </w:rPr>
        <w:drawing>
          <wp:inline distT="0" distB="0" distL="0" distR="0">
            <wp:extent cx="4824825" cy="2439528"/>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4825" cy="2439528"/>
                    </a:xfrm>
                    <a:prstGeom prst="rect">
                      <a:avLst/>
                    </a:prstGeom>
                    <a:noFill/>
                    <a:ln>
                      <a:noFill/>
                    </a:ln>
                  </pic:spPr>
                </pic:pic>
              </a:graphicData>
            </a:graphic>
          </wp:inline>
        </w:drawing>
      </w:r>
    </w:p>
    <w:p w:rsidR="00D04F5B" w:rsidRPr="00621BF1" w:rsidRDefault="00D04F5B" w:rsidP="00D04F5B">
      <w:pPr>
        <w:keepLines/>
        <w:tabs>
          <w:tab w:val="left" w:pos="426"/>
        </w:tabs>
        <w:spacing w:before="120"/>
        <w:jc w:val="both"/>
        <w:rPr>
          <w:rFonts w:eastAsia="Times New Roman" w:cs="Times New Roman"/>
        </w:rPr>
      </w:pPr>
      <w:r w:rsidRPr="00621BF1">
        <w:rPr>
          <w:rFonts w:eastAsia="Times New Roman" w:cs="Times New Roman"/>
        </w:rPr>
        <w:t>Les raisons qui justifient le remplacement/ renouvellement des réfrigérateurs au niveau centre de santé sont principalement la durée de vie, les pannes récurrentes et la non-conformité des équipements aux normes PQS (équipements domestiques et fonctionnant au kérosène).</w:t>
      </w:r>
    </w:p>
    <w:p w:rsidR="00D04F5B" w:rsidRPr="00621BF1" w:rsidRDefault="00D04F5B" w:rsidP="00D04F5B">
      <w:pPr>
        <w:jc w:val="both"/>
        <w:rPr>
          <w:rFonts w:eastAsia="Times New Roman" w:cs="Times New Roman"/>
        </w:rPr>
      </w:pPr>
      <w:r w:rsidRPr="00621BF1">
        <w:rPr>
          <w:rFonts w:eastAsia="Times New Roman" w:cs="Times New Roman"/>
        </w:rPr>
        <w:t xml:space="preserve">Il faut signaler que le pays compte 935 postes de santé et structures privées/confessionnelles qui ne disposent pas de réfrigérateur. Dans le cadre du renforcement de la fiabilité de la chaine du froid et afin de se conformer aux normes PQS, le pays est engagé dans le processus de remplacement progressif de tous les équipements en panne, fonctionnant au kérosène et ceux non homologués. Aussi, depuis le début de l’année 2016, 159 réfrigérateurs solaires, 3007 porte-vaccins et 38 glacières ont été commandés et réceptionnés dans le pays. </w:t>
      </w:r>
    </w:p>
    <w:p w:rsidR="00D04F5B" w:rsidRPr="00621BF1" w:rsidRDefault="00D04F5B" w:rsidP="00D04F5B">
      <w:pPr>
        <w:jc w:val="both"/>
        <w:rPr>
          <w:rFonts w:eastAsia="Times New Roman" w:cs="Times New Roman"/>
        </w:rPr>
      </w:pPr>
      <w:r w:rsidRPr="00621BF1">
        <w:rPr>
          <w:rFonts w:eastAsia="Times New Roman" w:cs="Times New Roman"/>
        </w:rPr>
        <w:t xml:space="preserve">L’un des principaux objectifs du Ministère de la Santee est d’augmenter la couverture des centres de santé d’ici 2020. Il envisage de ce fait doter tous les postes de santé en équipements de </w:t>
      </w:r>
      <w:r w:rsidR="00F13636">
        <w:rPr>
          <w:rFonts w:eastAsia="Times New Roman" w:cs="Times New Roman"/>
        </w:rPr>
        <w:t xml:space="preserve">la </w:t>
      </w:r>
      <w:r w:rsidRPr="00621BF1">
        <w:rPr>
          <w:rFonts w:eastAsia="Times New Roman" w:cs="Times New Roman"/>
        </w:rPr>
        <w:t>C</w:t>
      </w:r>
      <w:r w:rsidR="00F13636">
        <w:rPr>
          <w:rFonts w:eastAsia="Times New Roman" w:cs="Times New Roman"/>
        </w:rPr>
        <w:t xml:space="preserve">haine </w:t>
      </w:r>
      <w:r w:rsidRPr="00621BF1">
        <w:rPr>
          <w:rFonts w:eastAsia="Times New Roman" w:cs="Times New Roman"/>
        </w:rPr>
        <w:t>d</w:t>
      </w:r>
      <w:r w:rsidR="00F13636">
        <w:rPr>
          <w:rFonts w:eastAsia="Times New Roman" w:cs="Times New Roman"/>
        </w:rPr>
        <w:t xml:space="preserve">u </w:t>
      </w:r>
      <w:r w:rsidRPr="00621BF1">
        <w:rPr>
          <w:rFonts w:eastAsia="Times New Roman" w:cs="Times New Roman"/>
        </w:rPr>
        <w:t>F</w:t>
      </w:r>
      <w:r w:rsidR="00F13636">
        <w:rPr>
          <w:rFonts w:eastAsia="Times New Roman" w:cs="Times New Roman"/>
        </w:rPr>
        <w:t>roid</w:t>
      </w:r>
      <w:r w:rsidRPr="00621BF1">
        <w:rPr>
          <w:rFonts w:eastAsia="Times New Roman" w:cs="Times New Roman"/>
        </w:rPr>
        <w:t xml:space="preserve"> afin d’atteindre chaque enfant. </w:t>
      </w:r>
    </w:p>
    <w:p w:rsidR="00D04F5B" w:rsidRPr="00621BF1" w:rsidRDefault="00D04F5B" w:rsidP="00D04F5B">
      <w:pPr>
        <w:jc w:val="both"/>
        <w:rPr>
          <w:rFonts w:eastAsia="Times New Roman" w:cs="Times New Roman"/>
        </w:rPr>
      </w:pPr>
      <w:r w:rsidRPr="00621BF1">
        <w:rPr>
          <w:rFonts w:eastAsia="Times New Roman" w:cs="Times New Roman"/>
        </w:rPr>
        <w:t>La dotation des nouveaux centres de santé en réfrigérateurs et le remplacement des équipements en panne, ceux qui sont vétustes et les hors normes se feront sur la base de l’inventaire par ordre de priorité avec des critères bien définis. Quatre ordres de priorités ont été établis:</w:t>
      </w:r>
    </w:p>
    <w:p w:rsidR="00D04F5B" w:rsidRPr="00621BF1" w:rsidRDefault="00D04F5B" w:rsidP="00D04F5B">
      <w:pPr>
        <w:pStyle w:val="Paragraphedeliste"/>
        <w:numPr>
          <w:ilvl w:val="0"/>
          <w:numId w:val="40"/>
        </w:numPr>
        <w:spacing w:before="0" w:after="200" w:line="276" w:lineRule="auto"/>
        <w:jc w:val="both"/>
        <w:rPr>
          <w:rFonts w:eastAsia="Times New Roman" w:cs="Times New Roman"/>
        </w:rPr>
      </w:pPr>
      <w:r w:rsidRPr="00621BF1">
        <w:rPr>
          <w:rFonts w:eastAsia="Times New Roman" w:cs="Times New Roman"/>
        </w:rPr>
        <w:t xml:space="preserve">Priorité1 : Centres de santé non encore équipés en réfrigérateurs,  </w:t>
      </w:r>
    </w:p>
    <w:p w:rsidR="00D04F5B" w:rsidRPr="00621BF1" w:rsidRDefault="00D04F5B" w:rsidP="00D04F5B">
      <w:pPr>
        <w:pStyle w:val="Paragraphedeliste"/>
        <w:numPr>
          <w:ilvl w:val="0"/>
          <w:numId w:val="40"/>
        </w:numPr>
        <w:spacing w:before="0" w:after="200" w:line="276" w:lineRule="auto"/>
        <w:jc w:val="both"/>
        <w:rPr>
          <w:rFonts w:eastAsia="Times New Roman" w:cs="Times New Roman"/>
        </w:rPr>
      </w:pPr>
      <w:r w:rsidRPr="00621BF1">
        <w:rPr>
          <w:rFonts w:eastAsia="Times New Roman" w:cs="Times New Roman"/>
        </w:rPr>
        <w:t xml:space="preserve">Priorité 2 : Centres de santé disposant de  réfrigérateurs  en panne (PQS et non PQS) ; </w:t>
      </w:r>
    </w:p>
    <w:p w:rsidR="00D04F5B" w:rsidRPr="00621BF1" w:rsidRDefault="00D04F5B" w:rsidP="00D04F5B">
      <w:pPr>
        <w:pStyle w:val="Paragraphedeliste"/>
        <w:numPr>
          <w:ilvl w:val="0"/>
          <w:numId w:val="40"/>
        </w:numPr>
        <w:spacing w:before="0" w:after="200" w:line="276" w:lineRule="auto"/>
        <w:jc w:val="both"/>
        <w:rPr>
          <w:rFonts w:eastAsia="Times New Roman" w:cs="Times New Roman"/>
        </w:rPr>
      </w:pPr>
      <w:r w:rsidRPr="00621BF1">
        <w:rPr>
          <w:rFonts w:eastAsia="Times New Roman" w:cs="Times New Roman"/>
        </w:rPr>
        <w:t xml:space="preserve">Priorité 3 : Centres de sante avec réfrigérateurs qui ont plus de 10 ans d’âge ; </w:t>
      </w:r>
    </w:p>
    <w:p w:rsidR="00D04F5B" w:rsidRPr="00621BF1" w:rsidRDefault="00D04F5B" w:rsidP="00D04F5B">
      <w:pPr>
        <w:pStyle w:val="Paragraphedeliste"/>
        <w:numPr>
          <w:ilvl w:val="0"/>
          <w:numId w:val="40"/>
        </w:numPr>
        <w:spacing w:before="0" w:after="200" w:line="276" w:lineRule="auto"/>
        <w:jc w:val="both"/>
        <w:rPr>
          <w:rFonts w:eastAsia="Times New Roman" w:cs="Times New Roman"/>
        </w:rPr>
      </w:pPr>
      <w:r w:rsidRPr="00621BF1">
        <w:rPr>
          <w:rFonts w:eastAsia="Times New Roman" w:cs="Times New Roman"/>
        </w:rPr>
        <w:t>Priorité 4 : Centres de sante avec  réfrigérateurs non PQS qui ont moins de 10 ans d’âge.</w:t>
      </w:r>
    </w:p>
    <w:p w:rsidR="00431B9D" w:rsidRPr="00621BF1" w:rsidRDefault="00431B9D" w:rsidP="00431B9D">
      <w:pPr>
        <w:autoSpaceDE w:val="0"/>
        <w:autoSpaceDN w:val="0"/>
        <w:adjustRightInd w:val="0"/>
        <w:spacing w:after="120"/>
        <w:jc w:val="both"/>
      </w:pPr>
      <w:r w:rsidRPr="00621BF1">
        <w:t>La  capacité en positif sera étendue, car il est prévu l’installation d’une chambre froide supplémentaire au deuxième semestre de 2016 de 40</w:t>
      </w:r>
      <w:r w:rsidR="008108A9" w:rsidRPr="00621BF1">
        <w:t xml:space="preserve"> </w:t>
      </w:r>
      <w:r w:rsidRPr="00621BF1">
        <w:t>m</w:t>
      </w:r>
      <w:r w:rsidRPr="00621BF1">
        <w:rPr>
          <w:vertAlign w:val="superscript"/>
        </w:rPr>
        <w:t>3</w:t>
      </w:r>
      <w:r w:rsidRPr="00621BF1">
        <w:t xml:space="preserve"> et aussi  l’utilisation de la chambre froide de 40m</w:t>
      </w:r>
      <w:r w:rsidRPr="00621BF1">
        <w:rPr>
          <w:vertAlign w:val="superscript"/>
        </w:rPr>
        <w:t>3</w:t>
      </w:r>
      <w:r w:rsidRPr="00621BF1">
        <w:t xml:space="preserve"> de la Région de Conakry installée en 2013 par l’UNFPA qui est dans la même enceinte que le PEV.</w:t>
      </w:r>
    </w:p>
    <w:p w:rsidR="00431B9D" w:rsidRPr="00621BF1" w:rsidRDefault="00431B9D" w:rsidP="00FB4A04">
      <w:pPr>
        <w:pStyle w:val="Titre3"/>
      </w:pPr>
      <w:bookmarkStart w:id="99" w:name="_Toc458593647"/>
      <w:r w:rsidRPr="00621BF1">
        <w:lastRenderedPageBreak/>
        <w:t>Gestion des vaccins</w:t>
      </w:r>
      <w:bookmarkEnd w:id="99"/>
      <w:r w:rsidRPr="00621BF1">
        <w:t xml:space="preserve"> </w:t>
      </w:r>
    </w:p>
    <w:p w:rsidR="00C25904" w:rsidRPr="00621BF1" w:rsidRDefault="00C25904" w:rsidP="00C25904">
      <w:pPr>
        <w:pStyle w:val="Titre4"/>
      </w:pPr>
      <w:r w:rsidRPr="00621BF1">
        <w:t>Description de la gestion des vaccins</w:t>
      </w:r>
    </w:p>
    <w:p w:rsidR="00431B9D" w:rsidRPr="00621BF1" w:rsidRDefault="00431B9D" w:rsidP="006A45F8">
      <w:pPr>
        <w:spacing w:after="120"/>
        <w:jc w:val="both"/>
        <w:rPr>
          <w:bCs/>
          <w:strike/>
          <w:vertAlign w:val="subscript"/>
        </w:rPr>
      </w:pPr>
      <w:r w:rsidRPr="00621BF1">
        <w:t>Au niveau central</w:t>
      </w:r>
      <w:r w:rsidR="00FB4A04" w:rsidRPr="00621BF1">
        <w:t>,</w:t>
      </w:r>
      <w:r w:rsidRPr="00621BF1">
        <w:t xml:space="preserve"> l’utilisation d’un système informatisé SMT permet le suivi des stocks, mais la saisie des sorties ne se fait pas au jour le jour ce qui crée  un décalage entre le stock </w:t>
      </w:r>
      <w:r w:rsidR="001E0F1D" w:rsidRPr="00621BF1">
        <w:t>théorique</w:t>
      </w:r>
      <w:r w:rsidRPr="00621BF1">
        <w:t xml:space="preserve"> et ce</w:t>
      </w:r>
      <w:r w:rsidR="00FB4A04" w:rsidRPr="00621BF1">
        <w:t>lui physique. Ce problème est dû</w:t>
      </w:r>
      <w:r w:rsidRPr="00621BF1">
        <w:t xml:space="preserve"> à une insuffisance de personnel et de formation du personnel existant. La gestion des stocks n’est pas informatisée aux niveaux </w:t>
      </w:r>
      <w:r w:rsidR="00FB4A04" w:rsidRPr="00621BF1">
        <w:t>région et district sanitaire. E</w:t>
      </w:r>
      <w:r w:rsidRPr="00621BF1">
        <w:t>lle est uniquement manuelle à travers le remplissage des r</w:t>
      </w:r>
      <w:r w:rsidR="006A45F8" w:rsidRPr="00621BF1">
        <w:t>egistres ou fiches de stock,  de</w:t>
      </w:r>
      <w:r w:rsidRPr="00621BF1">
        <w:t xml:space="preserve">s bons de commande/livraisons  pour les districts sanitaires et des centres de </w:t>
      </w:r>
      <w:r w:rsidR="001E0F1D" w:rsidRPr="00621BF1">
        <w:t>santé</w:t>
      </w:r>
      <w:r w:rsidRPr="00621BF1">
        <w:t>.</w:t>
      </w:r>
      <w:r w:rsidR="006A45F8" w:rsidRPr="00621BF1">
        <w:t xml:space="preserve"> </w:t>
      </w:r>
      <w:r w:rsidRPr="00621BF1">
        <w:t xml:space="preserve">Ces outils ne sont pas </w:t>
      </w:r>
      <w:r w:rsidR="001E0F1D" w:rsidRPr="00621BF1">
        <w:t>harmonisés</w:t>
      </w:r>
      <w:r w:rsidRPr="00621BF1">
        <w:t xml:space="preserve">  et on note une insuffisance</w:t>
      </w:r>
      <w:r w:rsidR="00C25904" w:rsidRPr="00621BF1">
        <w:t xml:space="preserve"> d’informations utiles comme l’E</w:t>
      </w:r>
      <w:r w:rsidRPr="00621BF1">
        <w:t xml:space="preserve">tat de la PCV, le </w:t>
      </w:r>
      <w:r w:rsidR="001E0F1D" w:rsidRPr="00621BF1">
        <w:t>numéro</w:t>
      </w:r>
      <w:r w:rsidRPr="00621BF1">
        <w:t xml:space="preserve"> de lot, le fabricant etc….</w:t>
      </w:r>
    </w:p>
    <w:p w:rsidR="00D04F5B" w:rsidRPr="00621BF1" w:rsidRDefault="00D04F5B" w:rsidP="00D04F5B">
      <w:pPr>
        <w:pStyle w:val="Titre4"/>
      </w:pPr>
      <w:bookmarkStart w:id="100" w:name="_Toc410741690"/>
      <w:bookmarkStart w:id="101" w:name="_Toc452745782"/>
      <w:bookmarkStart w:id="102" w:name="_Toc452746514"/>
      <w:bookmarkStart w:id="103" w:name="_Toc452747533"/>
      <w:r w:rsidRPr="00621BF1">
        <w:t>Evaluation de la Gestion Efficace des Vaccins (GEV)</w:t>
      </w:r>
    </w:p>
    <w:p w:rsidR="00D04F5B" w:rsidRPr="00621BF1" w:rsidRDefault="00D04F5B" w:rsidP="00D04F5B">
      <w:pPr>
        <w:spacing w:after="120"/>
        <w:jc w:val="both"/>
        <w:rPr>
          <w:rFonts w:eastAsia="Times New Roman" w:cs="Arial"/>
          <w:i/>
          <w:sz w:val="24"/>
          <w:szCs w:val="20"/>
          <w:lang w:val="fr-BE" w:eastAsia="fr-FR"/>
        </w:rPr>
      </w:pPr>
      <w:r w:rsidRPr="00621BF1">
        <w:t>En  début 2016, une évaluation  de la gestion efficace des vaccins et de chaîne du froide a été conduite. Les principaux résultats  sont résumés dans le tableau ci-dessous.</w:t>
      </w:r>
      <w:bookmarkStart w:id="104" w:name="_Toc452746981"/>
    </w:p>
    <w:p w:rsidR="00D04F5B" w:rsidRPr="00621BF1" w:rsidRDefault="00040F7A" w:rsidP="00040F7A">
      <w:pPr>
        <w:pStyle w:val="Lgende"/>
      </w:pPr>
      <w:bookmarkStart w:id="105" w:name="_Toc456109487"/>
      <w:bookmarkEnd w:id="104"/>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21</w:t>
      </w:r>
      <w:r w:rsidR="00B51B2E" w:rsidRPr="00621BF1">
        <w:fldChar w:fldCharType="end"/>
      </w:r>
      <w:r w:rsidRPr="00621BF1">
        <w:t>: Résultats globaux de l’évaluation de la Gestion Efficace des Vaccins en Guinée</w:t>
      </w:r>
      <w:bookmarkEnd w:id="105"/>
    </w:p>
    <w:p w:rsidR="00D04F5B" w:rsidRPr="00621BF1" w:rsidRDefault="00D04F5B" w:rsidP="00D04F5B">
      <w:pPr>
        <w:tabs>
          <w:tab w:val="left" w:pos="3600"/>
        </w:tabs>
        <w:spacing w:after="120"/>
        <w:jc w:val="both"/>
        <w:rPr>
          <w:lang w:val="fr-BE"/>
        </w:rPr>
      </w:pPr>
    </w:p>
    <w:p w:rsidR="00D04F5B" w:rsidRPr="00621BF1" w:rsidRDefault="00D04F5B" w:rsidP="00040F7A">
      <w:pPr>
        <w:tabs>
          <w:tab w:val="left" w:pos="3600"/>
        </w:tabs>
        <w:spacing w:after="120"/>
        <w:jc w:val="center"/>
        <w:rPr>
          <w:lang w:val="fr-BE"/>
        </w:rPr>
      </w:pPr>
      <w:r w:rsidRPr="00621BF1">
        <w:rPr>
          <w:rFonts w:eastAsia="Calibri"/>
          <w:noProof/>
          <w:lang w:eastAsia="fr-FR"/>
        </w:rPr>
        <w:drawing>
          <wp:inline distT="0" distB="0" distL="0" distR="0">
            <wp:extent cx="4422140" cy="2920365"/>
            <wp:effectExtent l="19050" t="19050" r="1651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2140" cy="2920365"/>
                    </a:xfrm>
                    <a:prstGeom prst="rect">
                      <a:avLst/>
                    </a:prstGeom>
                    <a:noFill/>
                    <a:ln w="12700" cmpd="sng">
                      <a:solidFill>
                        <a:srgbClr val="000000"/>
                      </a:solidFill>
                      <a:miter lim="800000"/>
                      <a:headEnd/>
                      <a:tailEnd/>
                    </a:ln>
                    <a:effectLst/>
                  </pic:spPr>
                </pic:pic>
              </a:graphicData>
            </a:graphic>
          </wp:inline>
        </w:drawing>
      </w:r>
    </w:p>
    <w:p w:rsidR="00D04F5B" w:rsidRPr="00621BF1" w:rsidRDefault="00D04F5B" w:rsidP="00D04F5B">
      <w:pPr>
        <w:spacing w:after="120"/>
        <w:jc w:val="both"/>
      </w:pPr>
      <w:r w:rsidRPr="00621BF1">
        <w:t xml:space="preserve">Il en ressort qu’à tous les niveaux, les critères d’appréciation n’atteignent pas le seuil de 80% comme recommandé par l’OMS.  Seule le critère E3 relatif </w:t>
      </w:r>
      <w:r w:rsidR="00F13636" w:rsidRPr="00621BF1">
        <w:t>à</w:t>
      </w:r>
      <w:r w:rsidRPr="00621BF1">
        <w:t xml:space="preserve"> la ‘’Capacité de stockage’’ au niveau central obtient un score  de 85%.  </w:t>
      </w:r>
    </w:p>
    <w:p w:rsidR="00D04F5B" w:rsidRPr="00621BF1" w:rsidRDefault="00D04F5B" w:rsidP="00D04F5B">
      <w:pPr>
        <w:spacing w:after="120"/>
        <w:jc w:val="both"/>
      </w:pPr>
      <w:r w:rsidRPr="00621BF1">
        <w:t xml:space="preserve">Les principales recommandations formulées suite à cette évaluation sont :  </w:t>
      </w:r>
    </w:p>
    <w:p w:rsidR="00D04F5B" w:rsidRPr="00621BF1" w:rsidRDefault="00D04F5B" w:rsidP="00D04F5B">
      <w:pPr>
        <w:numPr>
          <w:ilvl w:val="0"/>
          <w:numId w:val="30"/>
        </w:numPr>
        <w:spacing w:before="60" w:after="80" w:line="240" w:lineRule="auto"/>
        <w:jc w:val="both"/>
      </w:pPr>
      <w:r w:rsidRPr="00621BF1">
        <w:t xml:space="preserve">Renforcer le personnel de la logistique du PEV par le recrutement/affectation et la formation de 4 cadres qui seront chargés respectivement des aspects logistiques (Suppléant a la responsable logistique), de la gestion des vaccins et de la chaine du froid logistiques du programme et de la gestion des données ; </w:t>
      </w:r>
    </w:p>
    <w:p w:rsidR="00D04F5B" w:rsidRPr="00451C16" w:rsidRDefault="00D04F5B" w:rsidP="00D04F5B">
      <w:pPr>
        <w:numPr>
          <w:ilvl w:val="0"/>
          <w:numId w:val="30"/>
        </w:numPr>
        <w:spacing w:before="60" w:after="80" w:line="240" w:lineRule="auto"/>
        <w:jc w:val="both"/>
      </w:pPr>
      <w:r w:rsidRPr="00451C16">
        <w:t>Former au moins 2 cadres nationaux aux cours LOGIVAC ;</w:t>
      </w:r>
    </w:p>
    <w:p w:rsidR="00D04F5B" w:rsidRPr="00451C16" w:rsidRDefault="00D04F5B" w:rsidP="00D04F5B">
      <w:pPr>
        <w:numPr>
          <w:ilvl w:val="0"/>
          <w:numId w:val="30"/>
        </w:numPr>
        <w:spacing w:before="60" w:after="80" w:line="240" w:lineRule="auto"/>
        <w:jc w:val="both"/>
      </w:pPr>
      <w:r w:rsidRPr="00451C16">
        <w:t>Former tout le personnel impliqué dans la gestion des vaccins et chaine du froid en Gestion Efficace des Vaccins ;</w:t>
      </w:r>
    </w:p>
    <w:p w:rsidR="00D04F5B" w:rsidRPr="00451C16" w:rsidRDefault="00D04F5B" w:rsidP="00D04F5B">
      <w:pPr>
        <w:numPr>
          <w:ilvl w:val="0"/>
          <w:numId w:val="30"/>
        </w:numPr>
        <w:spacing w:before="60" w:after="80" w:line="240" w:lineRule="auto"/>
        <w:jc w:val="both"/>
      </w:pPr>
      <w:r w:rsidRPr="00451C16">
        <w:lastRenderedPageBreak/>
        <w:t>Assurer des supervisions formatives régulières de qualité à tous les niveaux de la chaîne d’approvisionnement ;</w:t>
      </w:r>
    </w:p>
    <w:p w:rsidR="00D04F5B" w:rsidRPr="00621BF1" w:rsidRDefault="00D04F5B" w:rsidP="00D04F5B">
      <w:pPr>
        <w:numPr>
          <w:ilvl w:val="0"/>
          <w:numId w:val="30"/>
        </w:numPr>
        <w:spacing w:before="60" w:after="80" w:line="240" w:lineRule="auto"/>
        <w:jc w:val="both"/>
      </w:pPr>
      <w:r w:rsidRPr="00451C16">
        <w:t>Elaborer et mettre en place des PON à tous</w:t>
      </w:r>
      <w:r w:rsidRPr="00621BF1">
        <w:t xml:space="preserve"> les niveaux ;</w:t>
      </w:r>
    </w:p>
    <w:p w:rsidR="00D04F5B" w:rsidRPr="00621BF1" w:rsidRDefault="00D04F5B" w:rsidP="00D04F5B">
      <w:pPr>
        <w:numPr>
          <w:ilvl w:val="0"/>
          <w:numId w:val="30"/>
        </w:numPr>
        <w:spacing w:before="60" w:after="80" w:line="240" w:lineRule="auto"/>
        <w:jc w:val="both"/>
      </w:pPr>
      <w:r w:rsidRPr="00621BF1">
        <w:t>Equiper les chambres froides positives et négatives du niveau central d’enregistreurs continus de température ;</w:t>
      </w:r>
    </w:p>
    <w:p w:rsidR="00D04F5B" w:rsidRPr="00621BF1" w:rsidRDefault="00D04F5B" w:rsidP="00D04F5B">
      <w:pPr>
        <w:numPr>
          <w:ilvl w:val="0"/>
          <w:numId w:val="30"/>
        </w:numPr>
        <w:spacing w:before="60" w:after="80" w:line="240" w:lineRule="auto"/>
        <w:jc w:val="both"/>
      </w:pPr>
      <w:r w:rsidRPr="00621BF1">
        <w:t>Renforcer les capacités de stockage positives du niveau central avec 2 chambres froides positives pour l’introduction des nouveaux vaccins ;</w:t>
      </w:r>
    </w:p>
    <w:p w:rsidR="00D04F5B" w:rsidRPr="00621BF1" w:rsidRDefault="00D04F5B" w:rsidP="00D04F5B">
      <w:pPr>
        <w:numPr>
          <w:ilvl w:val="0"/>
          <w:numId w:val="30"/>
        </w:numPr>
        <w:spacing w:before="60" w:after="80" w:line="240" w:lineRule="auto"/>
        <w:jc w:val="both"/>
      </w:pPr>
      <w:r w:rsidRPr="00621BF1">
        <w:t>Conduire une évaluation pour le remodelage de la chaine d’approvisionnement ;</w:t>
      </w:r>
    </w:p>
    <w:p w:rsidR="00D04F5B" w:rsidRPr="00621BF1" w:rsidRDefault="00D04F5B" w:rsidP="00D04F5B">
      <w:pPr>
        <w:numPr>
          <w:ilvl w:val="0"/>
          <w:numId w:val="30"/>
        </w:numPr>
        <w:spacing w:before="60" w:after="80" w:line="240" w:lineRule="auto"/>
        <w:jc w:val="both"/>
      </w:pPr>
      <w:r w:rsidRPr="00621BF1">
        <w:t>Doter les dépôts régionaux et de districts en matériel informatique pour la généralisation de l’utilisation régulière des outils de gestion et de monitorage des vaccins et consommables (SMT &amp; DVD_MT) ;</w:t>
      </w:r>
    </w:p>
    <w:p w:rsidR="00D04F5B" w:rsidRPr="00621BF1" w:rsidRDefault="00D04F5B" w:rsidP="00D04F5B">
      <w:pPr>
        <w:numPr>
          <w:ilvl w:val="0"/>
          <w:numId w:val="30"/>
        </w:numPr>
        <w:spacing w:before="60" w:after="80" w:line="240" w:lineRule="auto"/>
        <w:jc w:val="both"/>
      </w:pPr>
      <w:r w:rsidRPr="00621BF1">
        <w:t>Equiper chaque réfrigérateur d’un enregistreur continu et doter les structures de moniteur de température pour le transport des vaccins ;</w:t>
      </w:r>
    </w:p>
    <w:p w:rsidR="00D04F5B" w:rsidRPr="00621BF1" w:rsidRDefault="00D04F5B" w:rsidP="00D04F5B">
      <w:pPr>
        <w:numPr>
          <w:ilvl w:val="0"/>
          <w:numId w:val="30"/>
        </w:numPr>
        <w:spacing w:before="60" w:after="80" w:line="240" w:lineRule="auto"/>
        <w:jc w:val="both"/>
      </w:pPr>
      <w:r w:rsidRPr="00621BF1">
        <w:t>Equiper et tester régulièrement les dépôts de stockage des vaccins d’extincteur ;</w:t>
      </w:r>
    </w:p>
    <w:p w:rsidR="00D04F5B" w:rsidRPr="00621BF1" w:rsidRDefault="00D04F5B" w:rsidP="00D04F5B">
      <w:pPr>
        <w:numPr>
          <w:ilvl w:val="0"/>
          <w:numId w:val="30"/>
        </w:numPr>
        <w:spacing w:before="60" w:after="80" w:line="240" w:lineRule="auto"/>
        <w:jc w:val="both"/>
      </w:pPr>
      <w:r w:rsidRPr="00621BF1">
        <w:t>Renforcer les capacités de stockage des districts pour accommoder la demande  maximale en vaccins pour le PEV de routine et en prévision de l’introduction des nouveaux vaccins ;</w:t>
      </w:r>
    </w:p>
    <w:p w:rsidR="00D04F5B" w:rsidRPr="00621BF1" w:rsidRDefault="00D04F5B" w:rsidP="00D04F5B">
      <w:pPr>
        <w:numPr>
          <w:ilvl w:val="0"/>
          <w:numId w:val="30"/>
        </w:numPr>
        <w:spacing w:before="60" w:after="80" w:line="240" w:lineRule="auto"/>
        <w:jc w:val="both"/>
      </w:pPr>
      <w:r w:rsidRPr="00621BF1">
        <w:t>Doter le PEV d’un site propre à lui et sécurisé afin de lui permettre d’optimiser son fonctionnement, notamment la gestion sécurisée de la chaine d’approvisionnement ;</w:t>
      </w:r>
    </w:p>
    <w:p w:rsidR="00D04F5B" w:rsidRPr="00621BF1" w:rsidRDefault="00D04F5B" w:rsidP="00D04F5B">
      <w:pPr>
        <w:numPr>
          <w:ilvl w:val="0"/>
          <w:numId w:val="30"/>
        </w:numPr>
        <w:spacing w:before="60" w:after="80" w:line="240" w:lineRule="auto"/>
        <w:jc w:val="both"/>
      </w:pPr>
      <w:r w:rsidRPr="00621BF1">
        <w:rPr>
          <w:rFonts w:cs="Arial"/>
        </w:rPr>
        <w:t xml:space="preserve">Réaliser une étude de modélisation de la chaine d’approvisionnement. </w:t>
      </w:r>
    </w:p>
    <w:p w:rsidR="00431B9D" w:rsidRPr="00621BF1" w:rsidRDefault="00431B9D" w:rsidP="001E0F1D">
      <w:pPr>
        <w:pStyle w:val="Titre3"/>
      </w:pPr>
      <w:bookmarkStart w:id="106" w:name="_Toc458593648"/>
      <w:r w:rsidRPr="00621BF1">
        <w:t>Logistique</w:t>
      </w:r>
      <w:bookmarkEnd w:id="100"/>
      <w:bookmarkEnd w:id="101"/>
      <w:bookmarkEnd w:id="102"/>
      <w:bookmarkEnd w:id="103"/>
      <w:bookmarkEnd w:id="106"/>
      <w:r w:rsidRPr="00621BF1">
        <w:t> </w:t>
      </w:r>
    </w:p>
    <w:p w:rsidR="008A2338" w:rsidRPr="00621BF1" w:rsidRDefault="008A2338" w:rsidP="008A2338">
      <w:pPr>
        <w:pStyle w:val="Titre4"/>
      </w:pPr>
      <w:r w:rsidRPr="00621BF1">
        <w:t>Transport</w:t>
      </w:r>
    </w:p>
    <w:p w:rsidR="00431B9D" w:rsidRPr="00621BF1" w:rsidRDefault="00431B9D" w:rsidP="00431B9D">
      <w:pPr>
        <w:pStyle w:val="En-tte"/>
        <w:spacing w:after="120"/>
        <w:jc w:val="both"/>
      </w:pPr>
      <w:r w:rsidRPr="00621BF1">
        <w:t>Au niveau central le parc automobile pour l’approvisionnement compte 5 véhicules (01de 10 tonnes, 02 de  5 tonnes, 01 de 4 tonnes et 01 de 11 tonnes). Il faut signaler que 4 de ces véhicules sont déjà amortis. Le niveau central dispose également de 5 véhicules to</w:t>
      </w:r>
      <w:r w:rsidR="00DB4954" w:rsidRPr="00621BF1">
        <w:t xml:space="preserve">ut terrain pour la supervision. </w:t>
      </w:r>
      <w:r w:rsidRPr="00621BF1">
        <w:t xml:space="preserve">La capacité de transport pour l’approvisionnement en vaccins et consommables est insuffisante </w:t>
      </w:r>
      <w:r w:rsidR="00DB4954" w:rsidRPr="00621BF1">
        <w:t>pour un approvisionnement optimal</w:t>
      </w:r>
      <w:r w:rsidRPr="00621BF1">
        <w:t>.</w:t>
      </w:r>
    </w:p>
    <w:p w:rsidR="00431B9D" w:rsidRPr="00621BF1" w:rsidRDefault="00431B9D" w:rsidP="00431B9D">
      <w:pPr>
        <w:pStyle w:val="En-tte"/>
        <w:spacing w:after="120"/>
        <w:jc w:val="both"/>
      </w:pPr>
      <w:r w:rsidRPr="00621BF1">
        <w:t>Au niveau régional et distincts le parc a été renforcé a la survenue de la maladie a virus Ebola ; il faut noter qu’il existe au moins deux véhicule par DRS et DPS. D’ici 2018 40% de ces véhicules seront amortis.</w:t>
      </w:r>
    </w:p>
    <w:p w:rsidR="00431B9D" w:rsidRPr="00621BF1" w:rsidRDefault="00431B9D" w:rsidP="00431B9D">
      <w:pPr>
        <w:pStyle w:val="En-tte"/>
        <w:spacing w:after="120"/>
        <w:jc w:val="both"/>
      </w:pPr>
      <w:r w:rsidRPr="00621BF1">
        <w:t>Chaque centre de santé a au moins 02 motos pour les activités d’approvisionnement, de stratégie avancée et de surveillance active. Néanmoins ces motos ne sont pas adaptées aux terrains.</w:t>
      </w:r>
    </w:p>
    <w:p w:rsidR="00431B9D" w:rsidRPr="00621BF1" w:rsidRDefault="00431B9D" w:rsidP="0067322E">
      <w:pPr>
        <w:pStyle w:val="Titre4"/>
      </w:pPr>
      <w:r w:rsidRPr="00621BF1">
        <w:t xml:space="preserve">Bâtiments </w:t>
      </w:r>
    </w:p>
    <w:p w:rsidR="00431B9D" w:rsidRPr="00621BF1" w:rsidRDefault="00431B9D" w:rsidP="00431B9D">
      <w:pPr>
        <w:spacing w:after="120"/>
        <w:jc w:val="both"/>
      </w:pPr>
      <w:r w:rsidRPr="00621BF1">
        <w:t>Au niveau central, on peut observer quelques fissures et le toit coule par endroit. Par ailleurs l’insuffisance de capacité  de stockage fait que certains intrants sont exposés au risque de vol.</w:t>
      </w:r>
      <w:r w:rsidR="008B6347" w:rsidRPr="00621BF1">
        <w:t xml:space="preserve"> </w:t>
      </w:r>
      <w:r w:rsidRPr="00621BF1">
        <w:t>Au niveau régional et district les bâtiments sont bien adaptés et entretenus.</w:t>
      </w:r>
      <w:r w:rsidR="008B6347" w:rsidRPr="00621BF1">
        <w:t xml:space="preserve"> </w:t>
      </w:r>
      <w:r w:rsidRPr="00621BF1">
        <w:t>Tous les centres de santé disposent d’un bâtiment adapte et de la plus part d’un logement de fonction.</w:t>
      </w:r>
    </w:p>
    <w:p w:rsidR="00431B9D" w:rsidRPr="00621BF1" w:rsidRDefault="00431B9D" w:rsidP="0067322E">
      <w:pPr>
        <w:pStyle w:val="Titre4"/>
      </w:pPr>
      <w:r w:rsidRPr="00621BF1">
        <w:t>Maintenance </w:t>
      </w:r>
    </w:p>
    <w:p w:rsidR="008B6347" w:rsidRPr="00621BF1" w:rsidRDefault="008B6347" w:rsidP="0015288B">
      <w:pPr>
        <w:pStyle w:val="Paragraphedeliste"/>
        <w:numPr>
          <w:ilvl w:val="0"/>
          <w:numId w:val="31"/>
        </w:numPr>
        <w:rPr>
          <w:b/>
        </w:rPr>
      </w:pPr>
      <w:r w:rsidRPr="00621BF1">
        <w:rPr>
          <w:b/>
        </w:rPr>
        <w:t>Chaine de froid</w:t>
      </w:r>
    </w:p>
    <w:p w:rsidR="00431B9D" w:rsidRPr="00621BF1" w:rsidRDefault="00431B9D" w:rsidP="00431B9D">
      <w:pPr>
        <w:spacing w:after="120"/>
        <w:jc w:val="both"/>
      </w:pPr>
      <w:r w:rsidRPr="00621BF1">
        <w:t xml:space="preserve">Au niveau central la maintenance </w:t>
      </w:r>
      <w:r w:rsidR="008B6347" w:rsidRPr="00621BF1">
        <w:t xml:space="preserve"> de la chaine de froid </w:t>
      </w:r>
      <w:r w:rsidRPr="00621BF1">
        <w:t xml:space="preserve">est assurée par un personnel recruté (contractuel) par le PEV mais le plus souvent il est contractualise avec </w:t>
      </w:r>
      <w:r w:rsidR="008B6347" w:rsidRPr="00621BF1">
        <w:t>un privé. Tout ce personnel a bénéficié d’</w:t>
      </w:r>
      <w:r w:rsidRPr="00621BF1">
        <w:t xml:space="preserve">une mise à niveau pour l’installation des équipements solaires et de la maintenance préventive en 2014 par l’AMP/GAVI. </w:t>
      </w:r>
      <w:r w:rsidR="008B6347" w:rsidRPr="00621BF1">
        <w:t>Actuellement, le PEV bénéficie de l’assistance technique d’</w:t>
      </w:r>
      <w:r w:rsidRPr="00621BF1">
        <w:t>un techni</w:t>
      </w:r>
      <w:r w:rsidR="008B6347" w:rsidRPr="00621BF1">
        <w:t xml:space="preserve">cien de la maintenance mis à </w:t>
      </w:r>
      <w:r w:rsidRPr="00621BF1">
        <w:t xml:space="preserve">disposition </w:t>
      </w:r>
      <w:r w:rsidR="008B6347" w:rsidRPr="00621BF1">
        <w:t>par Unicef</w:t>
      </w:r>
      <w:r w:rsidRPr="00621BF1">
        <w:t>.</w:t>
      </w:r>
      <w:r w:rsidR="008B6347" w:rsidRPr="00621BF1">
        <w:t xml:space="preserve"> Le </w:t>
      </w:r>
      <w:r w:rsidRPr="00621BF1">
        <w:t>niveau régional</w:t>
      </w:r>
      <w:r w:rsidR="008B6347" w:rsidRPr="00621BF1">
        <w:t xml:space="preserve"> bénéficie de l’appui technique de deux techniciens en maintenance préventive </w:t>
      </w:r>
      <w:r w:rsidR="008B6347" w:rsidRPr="00621BF1">
        <w:lastRenderedPageBreak/>
        <w:t>recrutement localement</w:t>
      </w:r>
      <w:r w:rsidRPr="00621BF1">
        <w:t>.</w:t>
      </w:r>
      <w:r w:rsidR="008B6347" w:rsidRPr="00621BF1">
        <w:t xml:space="preserve"> </w:t>
      </w:r>
      <w:r w:rsidRPr="00621BF1">
        <w:t>L’absence</w:t>
      </w:r>
      <w:r w:rsidR="008B6347" w:rsidRPr="00621BF1">
        <w:t xml:space="preserve"> de pièces de rechange </w:t>
      </w:r>
      <w:r w:rsidRPr="00621BF1">
        <w:t>constitue un problème majeur pour la réparation à temps des équipements en panne</w:t>
      </w:r>
      <w:r w:rsidR="008B6347" w:rsidRPr="00621BF1">
        <w:t xml:space="preserve">, tant au niveau </w:t>
      </w:r>
      <w:r w:rsidRPr="00621BF1">
        <w:t>district sanitaire</w:t>
      </w:r>
      <w:r w:rsidR="008B6347" w:rsidRPr="00621BF1">
        <w:t xml:space="preserve"> qu’au niveau</w:t>
      </w:r>
      <w:r w:rsidRPr="00621BF1">
        <w:t xml:space="preserve"> centre de santé.</w:t>
      </w:r>
      <w:r w:rsidR="008B6347" w:rsidRPr="00621BF1">
        <w:t xml:space="preserve"> </w:t>
      </w:r>
    </w:p>
    <w:p w:rsidR="00431B9D" w:rsidRPr="00621BF1" w:rsidRDefault="001E0F1D" w:rsidP="0015288B">
      <w:pPr>
        <w:pStyle w:val="Paragraphedeliste"/>
        <w:numPr>
          <w:ilvl w:val="0"/>
          <w:numId w:val="31"/>
        </w:numPr>
        <w:rPr>
          <w:b/>
        </w:rPr>
      </w:pPr>
      <w:r w:rsidRPr="00621BF1">
        <w:rPr>
          <w:b/>
        </w:rPr>
        <w:t xml:space="preserve">Matériels </w:t>
      </w:r>
      <w:r w:rsidR="00431B9D" w:rsidRPr="00621BF1">
        <w:rPr>
          <w:b/>
        </w:rPr>
        <w:t>roulant</w:t>
      </w:r>
      <w:r w:rsidRPr="00621BF1">
        <w:rPr>
          <w:b/>
        </w:rPr>
        <w:t>s</w:t>
      </w:r>
      <w:r w:rsidR="008B6347" w:rsidRPr="00621BF1">
        <w:rPr>
          <w:b/>
        </w:rPr>
        <w:t xml:space="preserve"> et Bâtiment</w:t>
      </w:r>
    </w:p>
    <w:p w:rsidR="00716CF2" w:rsidRPr="00621BF1" w:rsidRDefault="0067322E" w:rsidP="00431B9D">
      <w:pPr>
        <w:spacing w:after="120"/>
        <w:jc w:val="both"/>
      </w:pPr>
      <w:r w:rsidRPr="00621BF1">
        <w:t>Le PEV ne dispose pas d’un plan de maintenance du matériel roulant et les bâtiments, ce qui ne le rend pas très opérationnel sur le terrain. Il s’avère urgent d’élaborer et assurer la mise en œuvre</w:t>
      </w:r>
      <w:r w:rsidR="00431B9D" w:rsidRPr="00621BF1">
        <w:t xml:space="preserve"> d’un plan de maintenance </w:t>
      </w:r>
      <w:r w:rsidRPr="00621BF1">
        <w:t xml:space="preserve">afin de pallier cette situation suscitée. </w:t>
      </w:r>
    </w:p>
    <w:p w:rsidR="00431B9D" w:rsidRPr="00621BF1" w:rsidRDefault="00716CF2" w:rsidP="00431B9D">
      <w:pPr>
        <w:spacing w:after="120"/>
        <w:jc w:val="both"/>
      </w:pPr>
      <w:r w:rsidRPr="00621BF1">
        <w:t xml:space="preserve">Par ailleurs, </w:t>
      </w:r>
      <w:r w:rsidR="00431B9D" w:rsidRPr="00621BF1">
        <w:t>au niveau des centres de sant</w:t>
      </w:r>
      <w:r w:rsidRPr="00621BF1">
        <w:t xml:space="preserve">é, certains bâtiments dégradés </w:t>
      </w:r>
      <w:r w:rsidR="00431B9D" w:rsidRPr="00621BF1">
        <w:t xml:space="preserve">ont </w:t>
      </w:r>
      <w:r w:rsidRPr="00621BF1">
        <w:t xml:space="preserve">fait l’objet de </w:t>
      </w:r>
      <w:r w:rsidR="00431B9D" w:rsidRPr="00621BF1">
        <w:t>rénovation entre 2015 et le début de 2016. Cet effort doit continuer pour donner des infrastructures adaptées.</w:t>
      </w:r>
    </w:p>
    <w:p w:rsidR="00431B9D" w:rsidRPr="00621BF1" w:rsidRDefault="00716CF2" w:rsidP="00431B9D">
      <w:pPr>
        <w:spacing w:after="120"/>
        <w:jc w:val="both"/>
        <w:rPr>
          <w:color w:val="2E74B5" w:themeColor="accent1" w:themeShade="BF"/>
        </w:rPr>
      </w:pPr>
      <w:r w:rsidRPr="00621BF1">
        <w:t>En fin,</w:t>
      </w:r>
      <w:r w:rsidR="00431B9D" w:rsidRPr="00621BF1">
        <w:t xml:space="preserve"> aucun des véhicules, motos et bâtiments administratifs n’est assuré ni ne dispose de matériel anti incendie</w:t>
      </w:r>
      <w:r w:rsidR="00431B9D" w:rsidRPr="00621BF1">
        <w:rPr>
          <w:color w:val="2E74B5" w:themeColor="accent1" w:themeShade="BF"/>
        </w:rPr>
        <w:t>.</w:t>
      </w:r>
    </w:p>
    <w:p w:rsidR="00431B9D" w:rsidRPr="00621BF1" w:rsidRDefault="00431B9D" w:rsidP="00716CF2">
      <w:pPr>
        <w:pStyle w:val="Titre4"/>
      </w:pPr>
      <w:r w:rsidRPr="00621BF1">
        <w:t xml:space="preserve">Sécurité de la vaccination </w:t>
      </w:r>
    </w:p>
    <w:p w:rsidR="00D2304D" w:rsidRPr="00621BF1" w:rsidRDefault="00431B9D" w:rsidP="00431B9D">
      <w:pPr>
        <w:spacing w:after="120"/>
        <w:jc w:val="both"/>
      </w:pPr>
      <w:r w:rsidRPr="00621BF1">
        <w:t>Il existe dans le pays une politique de sécurité des injections. Depuis 2002 le programme a introduit l’utilisation des seringues autobloquantes et des boites de sécurité dans 100% des structures de vaccination. Il existe des incinérateurs dans le  pays mais le nombre est insuf</w:t>
      </w:r>
      <w:r w:rsidR="00716CF2" w:rsidRPr="00621BF1">
        <w:t>fisant pour couvrir les besoins, seulement...% sont fonctionnels.</w:t>
      </w:r>
      <w:r w:rsidR="00D2304D" w:rsidRPr="00621BF1">
        <w:t xml:space="preserve"> La carte ci-dessous présente la situation de la distribution nationale des incinérateurs installés et fonctionnels mars 2016. </w:t>
      </w:r>
    </w:p>
    <w:p w:rsidR="00D2304D" w:rsidRPr="00621BF1" w:rsidRDefault="001F1C18" w:rsidP="001F1C18">
      <w:pPr>
        <w:spacing w:after="120"/>
        <w:jc w:val="center"/>
      </w:pPr>
      <w:bookmarkStart w:id="107" w:name="_GoBack"/>
      <w:r w:rsidRPr="00621BF1">
        <w:rPr>
          <w:noProof/>
          <w:lang w:eastAsia="fr-FR"/>
        </w:rPr>
        <w:drawing>
          <wp:inline distT="0" distB="0" distL="0" distR="0">
            <wp:extent cx="6400800" cy="3406775"/>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400800" cy="3406775"/>
                    </a:xfrm>
                    <a:prstGeom prst="rect">
                      <a:avLst/>
                    </a:prstGeom>
                  </pic:spPr>
                </pic:pic>
              </a:graphicData>
            </a:graphic>
          </wp:inline>
        </w:drawing>
      </w:r>
      <w:bookmarkEnd w:id="107"/>
    </w:p>
    <w:p w:rsidR="0090443F" w:rsidRPr="00621BF1" w:rsidRDefault="00431B9D" w:rsidP="0090443F">
      <w:pPr>
        <w:pStyle w:val="Lgende"/>
      </w:pPr>
      <w:r w:rsidRPr="00621BF1">
        <w:t xml:space="preserve"> </w:t>
      </w:r>
      <w:bookmarkStart w:id="108" w:name="_Toc456109506"/>
      <w:r w:rsidR="0090443F" w:rsidRPr="00621BF1">
        <w:t xml:space="preserve">Figure </w:t>
      </w:r>
      <w:r w:rsidR="00B51B2E" w:rsidRPr="00621BF1">
        <w:fldChar w:fldCharType="begin"/>
      </w:r>
      <w:r w:rsidR="0090443F" w:rsidRPr="00621BF1">
        <w:instrText xml:space="preserve"> SEQ Figure \* ARABIC </w:instrText>
      </w:r>
      <w:r w:rsidR="00B51B2E" w:rsidRPr="00621BF1">
        <w:fldChar w:fldCharType="separate"/>
      </w:r>
      <w:r w:rsidR="00DC4EEF">
        <w:rPr>
          <w:noProof/>
        </w:rPr>
        <w:t>9</w:t>
      </w:r>
      <w:r w:rsidR="00B51B2E" w:rsidRPr="00621BF1">
        <w:fldChar w:fldCharType="end"/>
      </w:r>
      <w:r w:rsidR="0090443F" w:rsidRPr="00621BF1">
        <w:t>: Cartographie de la distribution nationale des incinérateurs installés et fonctionnels mars 2016.</w:t>
      </w:r>
      <w:bookmarkEnd w:id="108"/>
    </w:p>
    <w:p w:rsidR="0003452F" w:rsidRPr="00621BF1" w:rsidRDefault="0003452F" w:rsidP="0003452F">
      <w:pPr>
        <w:spacing w:after="120"/>
        <w:jc w:val="both"/>
        <w:rPr>
          <w:sz w:val="10"/>
        </w:rPr>
      </w:pPr>
      <w:r w:rsidRPr="00621BF1">
        <w:t xml:space="preserve"> </w:t>
      </w:r>
    </w:p>
    <w:p w:rsidR="004B4604" w:rsidRPr="00621BF1" w:rsidRDefault="001F1C18" w:rsidP="00431B9D">
      <w:pPr>
        <w:spacing w:after="120"/>
        <w:jc w:val="both"/>
      </w:pPr>
      <w:r w:rsidRPr="00621BF1">
        <w:t>Par ailleurs, l</w:t>
      </w:r>
      <w:r w:rsidR="00431B9D" w:rsidRPr="00621BF1">
        <w:t>’incinération des boites de sécurité est confrontée aux difficultés d’approvisionnement en carburant. Par ailleurs l’élaboration d’un plan de gestion des déchets des districts sanitaires facilitera l’élimination correcte des déchets à risque infectieux.</w:t>
      </w:r>
    </w:p>
    <w:p w:rsidR="004B4604" w:rsidRPr="00621BF1" w:rsidRDefault="004B4604" w:rsidP="004B4604">
      <w:pPr>
        <w:pStyle w:val="Titre2"/>
      </w:pPr>
      <w:bookmarkStart w:id="109" w:name="_Toc458593649"/>
      <w:r w:rsidRPr="00621BF1">
        <w:lastRenderedPageBreak/>
        <w:t>GESTION DU PROGRAMME</w:t>
      </w:r>
      <w:bookmarkEnd w:id="109"/>
      <w:r w:rsidRPr="00621BF1">
        <w:t xml:space="preserve"> </w:t>
      </w:r>
    </w:p>
    <w:p w:rsidR="004B4604" w:rsidRPr="00621BF1" w:rsidRDefault="004B4604" w:rsidP="004B4604">
      <w:pPr>
        <w:pStyle w:val="Titre3"/>
      </w:pPr>
      <w:bookmarkStart w:id="110" w:name="_Toc452745762"/>
      <w:bookmarkStart w:id="111" w:name="_Toc452746494"/>
      <w:bookmarkStart w:id="112" w:name="_Toc452747513"/>
      <w:bookmarkStart w:id="113" w:name="_Toc458593650"/>
      <w:r w:rsidRPr="00621BF1">
        <w:t>Organisation générale du PEV</w:t>
      </w:r>
      <w:bookmarkEnd w:id="110"/>
      <w:bookmarkEnd w:id="111"/>
      <w:bookmarkEnd w:id="112"/>
      <w:bookmarkEnd w:id="113"/>
    </w:p>
    <w:p w:rsidR="004B4604" w:rsidRPr="00621BF1" w:rsidRDefault="004B4604" w:rsidP="004B4604">
      <w:pPr>
        <w:spacing w:after="120"/>
        <w:jc w:val="both"/>
        <w:rPr>
          <w:rFonts w:cs="Arial"/>
        </w:rPr>
      </w:pPr>
      <w:r w:rsidRPr="00621BF1">
        <w:rPr>
          <w:rFonts w:cs="Arial"/>
        </w:rPr>
        <w:t>Le programme élargi de vaccination a pour rôle de :</w:t>
      </w:r>
    </w:p>
    <w:p w:rsidR="00485B39" w:rsidRPr="00621BF1" w:rsidRDefault="00485B39" w:rsidP="00485B39">
      <w:pPr>
        <w:pStyle w:val="Paragraphedeliste"/>
        <w:numPr>
          <w:ilvl w:val="1"/>
          <w:numId w:val="4"/>
        </w:numPr>
        <w:spacing w:before="0"/>
        <w:jc w:val="both"/>
        <w:rPr>
          <w:rFonts w:cs="Arial"/>
        </w:rPr>
      </w:pPr>
      <w:r w:rsidRPr="00621BF1">
        <w:rPr>
          <w:rFonts w:cs="Arial"/>
        </w:rPr>
        <w:t xml:space="preserve">concevoir, de coordonner, de planifier, d’assurer le suivi et l’évaluation des activités de vaccination ; </w:t>
      </w:r>
    </w:p>
    <w:p w:rsidR="00485B39" w:rsidRPr="00621BF1" w:rsidRDefault="00485B39" w:rsidP="00485B39">
      <w:pPr>
        <w:pStyle w:val="Paragraphedeliste"/>
        <w:numPr>
          <w:ilvl w:val="1"/>
          <w:numId w:val="4"/>
        </w:numPr>
        <w:spacing w:before="0"/>
        <w:jc w:val="both"/>
        <w:rPr>
          <w:rFonts w:cs="Arial"/>
        </w:rPr>
      </w:pPr>
      <w:r w:rsidRPr="00621BF1">
        <w:rPr>
          <w:rFonts w:cs="Arial"/>
        </w:rPr>
        <w:t xml:space="preserve">participer à la surveillance épidémiologique des maladies cibles du Programme élargi de vaccination en collaboration avec la Division prévention et la lutte contre la maladie ; </w:t>
      </w:r>
    </w:p>
    <w:p w:rsidR="00485B39" w:rsidRPr="00621BF1" w:rsidRDefault="00485B39" w:rsidP="00485B39">
      <w:pPr>
        <w:pStyle w:val="Paragraphedeliste"/>
        <w:numPr>
          <w:ilvl w:val="1"/>
          <w:numId w:val="4"/>
        </w:numPr>
        <w:spacing w:before="0"/>
        <w:jc w:val="both"/>
        <w:rPr>
          <w:rFonts w:cs="Arial"/>
        </w:rPr>
      </w:pPr>
      <w:r w:rsidRPr="00621BF1">
        <w:rPr>
          <w:rFonts w:cs="Arial"/>
        </w:rPr>
        <w:t>organiser et de coordonner la riposte vaccinale en collaboration avec la Division prévention et la lutte contre la maladie dans les situations d’urgence et en cas d’épidémie où l’indication d’une vaccination est posée ;</w:t>
      </w:r>
    </w:p>
    <w:p w:rsidR="00485B39" w:rsidRPr="00621BF1" w:rsidRDefault="00485B39" w:rsidP="00485B39">
      <w:pPr>
        <w:pStyle w:val="Paragraphedeliste"/>
        <w:numPr>
          <w:ilvl w:val="1"/>
          <w:numId w:val="4"/>
        </w:numPr>
        <w:spacing w:before="0"/>
        <w:jc w:val="both"/>
        <w:rPr>
          <w:rFonts w:cs="Arial"/>
        </w:rPr>
      </w:pPr>
      <w:r w:rsidRPr="00621BF1">
        <w:rPr>
          <w:rFonts w:cs="Arial"/>
        </w:rPr>
        <w:t>assurer l’approvisionnement en vaccins et consommables en collaboration avec le BND</w:t>
      </w:r>
    </w:p>
    <w:p w:rsidR="00485B39" w:rsidRPr="00621BF1" w:rsidRDefault="00485B39" w:rsidP="00485B39">
      <w:pPr>
        <w:pStyle w:val="Paragraphedeliste"/>
        <w:numPr>
          <w:ilvl w:val="1"/>
          <w:numId w:val="4"/>
        </w:numPr>
        <w:spacing w:before="0"/>
        <w:jc w:val="both"/>
        <w:rPr>
          <w:rFonts w:cs="Arial"/>
        </w:rPr>
      </w:pPr>
      <w:r w:rsidRPr="00621BF1">
        <w:rPr>
          <w:rFonts w:cs="Arial"/>
        </w:rPr>
        <w:t>participer aux travaux de recherche sur les vaccinations ;</w:t>
      </w:r>
    </w:p>
    <w:p w:rsidR="00485B39" w:rsidRPr="00621BF1" w:rsidRDefault="00485B39" w:rsidP="00485B39">
      <w:pPr>
        <w:pStyle w:val="Paragraphedeliste"/>
        <w:numPr>
          <w:ilvl w:val="1"/>
          <w:numId w:val="4"/>
        </w:numPr>
        <w:spacing w:before="0"/>
        <w:jc w:val="both"/>
        <w:rPr>
          <w:rFonts w:cs="Arial"/>
        </w:rPr>
      </w:pPr>
      <w:r w:rsidRPr="00621BF1">
        <w:rPr>
          <w:rFonts w:cs="Arial"/>
        </w:rPr>
        <w:t>apporter un appui technique aux structures déconcentrées dans la mise en œuvre des activités de vaccination.</w:t>
      </w:r>
    </w:p>
    <w:p w:rsidR="00485B39" w:rsidRDefault="00485B39" w:rsidP="00485B39">
      <w:pPr>
        <w:spacing w:after="120"/>
        <w:jc w:val="both"/>
        <w:rPr>
          <w:rFonts w:cs="Arial"/>
        </w:rPr>
      </w:pPr>
      <w:r w:rsidRPr="00621BF1">
        <w:rPr>
          <w:rFonts w:cs="Arial"/>
        </w:rPr>
        <w:t>La Coordination Nationale du PEV comprend : i) une coordination, ii) une section immunisation, iii)  une section de suivi-évaluation et recherches et iv) une section communication et de mobilisation sociale. Cette coordination est accompagnée par</w:t>
      </w:r>
      <w:r>
        <w:rPr>
          <w:rFonts w:cs="Arial"/>
        </w:rPr>
        <w:t xml:space="preserve"> un </w:t>
      </w:r>
      <w:r w:rsidRPr="00621BF1">
        <w:rPr>
          <w:rFonts w:cs="Arial"/>
        </w:rPr>
        <w:t xml:space="preserve"> organe consultatif (CCIA), les  comités nationaux de certification de l’éradication de la poliomyélite, de gestion des manifestat</w:t>
      </w:r>
      <w:r>
        <w:rPr>
          <w:rFonts w:cs="Arial"/>
        </w:rPr>
        <w:t xml:space="preserve">ions post immunisation (MAPI), </w:t>
      </w:r>
      <w:r w:rsidRPr="00621BF1">
        <w:rPr>
          <w:rFonts w:cs="Arial"/>
        </w:rPr>
        <w:t>le comité national de validation, du remplacement du VPO Trivalent par le VPO Bivalent (SWITCH)</w:t>
      </w:r>
      <w:r>
        <w:rPr>
          <w:rFonts w:cs="Arial"/>
        </w:rPr>
        <w:t xml:space="preserve"> </w:t>
      </w:r>
      <w:r w:rsidRPr="0026326A">
        <w:rPr>
          <w:rFonts w:cs="Arial"/>
        </w:rPr>
        <w:t xml:space="preserve">et le groupe technique consultatif pour la vaccination (GTCV) mis en place e 2018. </w:t>
      </w:r>
      <w:r w:rsidRPr="00621BF1">
        <w:rPr>
          <w:rFonts w:cs="Arial"/>
        </w:rPr>
        <w:t>Dans le cadre de la communication et de la mobilisation, la coordination bénéficie de l’appui des organisations de la société civile et de ses démembrements.</w:t>
      </w:r>
    </w:p>
    <w:p w:rsidR="00485B39" w:rsidRPr="0026326A" w:rsidRDefault="00485B39" w:rsidP="00485B39">
      <w:pPr>
        <w:spacing w:after="120"/>
        <w:jc w:val="both"/>
        <w:rPr>
          <w:rFonts w:cs="Arial"/>
        </w:rPr>
      </w:pPr>
      <w:r w:rsidRPr="0026326A">
        <w:rPr>
          <w:rFonts w:cs="Arial"/>
        </w:rPr>
        <w:t xml:space="preserve">Une proposition d’organigramme détaillé du PEV a été réalisée par le Cabinet </w:t>
      </w:r>
      <w:proofErr w:type="spellStart"/>
      <w:r w:rsidRPr="0026326A">
        <w:rPr>
          <w:rFonts w:cs="Arial"/>
        </w:rPr>
        <w:t>Deloitte</w:t>
      </w:r>
      <w:proofErr w:type="spellEnd"/>
      <w:r w:rsidRPr="0026326A">
        <w:rPr>
          <w:rFonts w:cs="Arial"/>
        </w:rPr>
        <w:t xml:space="preserve"> en 2016, .un appuis technique par le cabinet Dalberg  est affecté au PEV pour une période de 2 ans (2018 – 2019) sur financement de GAVI.</w:t>
      </w:r>
    </w:p>
    <w:p w:rsidR="00485B39" w:rsidRPr="0026326A" w:rsidRDefault="00485B39" w:rsidP="00485B39">
      <w:pPr>
        <w:spacing w:after="120"/>
        <w:jc w:val="both"/>
        <w:rPr>
          <w:rFonts w:cs="Arial"/>
        </w:rPr>
      </w:pPr>
      <w:r w:rsidRPr="0026326A">
        <w:rPr>
          <w:rFonts w:cs="Arial"/>
        </w:rPr>
        <w:t>JSI en synergie d’action avec les autres partenaires notamment l’OMS et UNICEF a apporté un appui technique au niveau central et dans les régions (élaboration des documents stratégiques, planification, révision des outils de gestion,  renforcement des capacités, le suivi évaluation et la logistique).</w:t>
      </w:r>
    </w:p>
    <w:p w:rsidR="00485B39" w:rsidRPr="0026326A" w:rsidRDefault="00485B39" w:rsidP="00485B39">
      <w:pPr>
        <w:spacing w:after="120"/>
        <w:jc w:val="both"/>
        <w:rPr>
          <w:rFonts w:cs="Arial"/>
        </w:rPr>
      </w:pPr>
      <w:r w:rsidRPr="0026326A">
        <w:rPr>
          <w:rFonts w:cs="Arial"/>
        </w:rPr>
        <w:t xml:space="preserve">L’OMS et l’UNICEF ont apporté de l’assistance technique et financière, dans toutes les composantes du PEV. </w:t>
      </w:r>
    </w:p>
    <w:p w:rsidR="00485B39" w:rsidRPr="0026326A" w:rsidRDefault="00485B39" w:rsidP="00485B39">
      <w:pPr>
        <w:spacing w:after="120"/>
        <w:jc w:val="both"/>
        <w:rPr>
          <w:rFonts w:cs="Arial"/>
        </w:rPr>
      </w:pPr>
      <w:r w:rsidRPr="0026326A">
        <w:rPr>
          <w:rFonts w:cs="Arial"/>
        </w:rPr>
        <w:t>L’appui de GAVI avec une nouvelle subvention du RSS 2 et le soutien à la vaccination pour la période 2017-2021 en cours de mise en œuvre  ciblant en priorité les 21 districts sanitaires à faible performance répartis dans 8 Régions. Cette nouvelle subvention permettra de maintenir les acquis des subventions antérieures.</w:t>
      </w:r>
    </w:p>
    <w:p w:rsidR="00485B39" w:rsidRPr="0026326A" w:rsidRDefault="00485B39" w:rsidP="00485B39">
      <w:pPr>
        <w:spacing w:after="120"/>
        <w:jc w:val="both"/>
        <w:rPr>
          <w:rFonts w:cs="Arial"/>
        </w:rPr>
      </w:pPr>
      <w:r w:rsidRPr="0026326A">
        <w:rPr>
          <w:rFonts w:cs="Arial"/>
        </w:rPr>
        <w:t>Les initiatives actuelles de l’Etat consiste au recrutement graduel de 2000 agents de santé par an, la mise en œuvre du compact national, l’accroissement de la subvention en faveur des structures sanitaires, l’engagement à rehausser progressivement la part du budget alloué au secteur de la santé de 4% en 2016 à 10 % d’ici 2020, l’alimentation conséquente de la ligne budgétaire et le décaissement effectif des fonds pour la vaccination. L’Etat entend également renforcer le cadre consultatif avec les partenaires techniques et financiers. Aussi, l’appropriation progressive par l’Etat des ressources domestiques du financement de la santé (mobilisation des ressources financières auprès du secteur minier, taxes sur la téléphonie mobile, le tabac, les produits pétroliers…). Toutes ces initiatives de collaboration vont dans le sens de la pérennité des investissements</w:t>
      </w:r>
      <w:r>
        <w:rPr>
          <w:rFonts w:cs="Arial"/>
        </w:rPr>
        <w:t>.</w:t>
      </w:r>
      <w:r w:rsidRPr="0026326A">
        <w:rPr>
          <w:rFonts w:cs="Arial"/>
        </w:rPr>
        <w:t xml:space="preserve"> </w:t>
      </w:r>
    </w:p>
    <w:p w:rsidR="004B4604" w:rsidRPr="00621BF1" w:rsidRDefault="00485B39" w:rsidP="004B4604">
      <w:pPr>
        <w:spacing w:after="120"/>
        <w:jc w:val="both"/>
        <w:rPr>
          <w:rFonts w:cs="Arial"/>
        </w:rPr>
      </w:pPr>
      <w:r w:rsidRPr="00621BF1">
        <w:rPr>
          <w:rFonts w:cs="Arial"/>
        </w:rPr>
        <w:t>Au niveau intermédiaire et périphérique, la gestion du programme PEV est assurée par les directions régionales, préfectorales et chefs de centre de santé.</w:t>
      </w:r>
    </w:p>
    <w:p w:rsidR="004B4604" w:rsidRPr="00621BF1" w:rsidRDefault="004B4604" w:rsidP="004B4604">
      <w:pPr>
        <w:pStyle w:val="Corpsdetexte22"/>
        <w:widowControl/>
        <w:spacing w:after="120"/>
        <w:rPr>
          <w:rFonts w:ascii="Gill Sans MT" w:hAnsi="Gill Sans MT"/>
          <w:b/>
          <w:bCs/>
          <w:sz w:val="22"/>
          <w:szCs w:val="22"/>
          <w:lang w:val="fr-BE"/>
        </w:rPr>
      </w:pPr>
      <w:r w:rsidRPr="00621BF1">
        <w:rPr>
          <w:rFonts w:ascii="Gill Sans MT" w:hAnsi="Gill Sans MT"/>
          <w:b/>
          <w:bCs/>
          <w:sz w:val="22"/>
          <w:szCs w:val="22"/>
          <w:lang w:val="fr-BE"/>
        </w:rPr>
        <w:t>Niveaux régional et District</w:t>
      </w:r>
    </w:p>
    <w:p w:rsidR="004B4604" w:rsidRPr="00621BF1" w:rsidRDefault="004B4604" w:rsidP="004B4604">
      <w:pPr>
        <w:pStyle w:val="Corpsdetexte22"/>
        <w:widowControl/>
        <w:spacing w:after="120"/>
        <w:rPr>
          <w:rFonts w:ascii="Gill Sans MT" w:hAnsi="Gill Sans MT"/>
          <w:bCs/>
          <w:sz w:val="22"/>
          <w:szCs w:val="22"/>
          <w:lang w:val="fr-BE"/>
        </w:rPr>
      </w:pPr>
      <w:r w:rsidRPr="00621BF1">
        <w:rPr>
          <w:rFonts w:ascii="Gill Sans MT" w:hAnsi="Gill Sans MT"/>
          <w:bCs/>
          <w:sz w:val="22"/>
          <w:szCs w:val="22"/>
          <w:lang w:val="fr-BE"/>
        </w:rPr>
        <w:lastRenderedPageBreak/>
        <w:t>L’équipe régionale est chargée de la coordination de la mise en œuvre des activités de vaccination. Il s’agit notamment des activités d’appui à la planification, à la formation et la supervision du personnel du niveau district et des centres de santé. Les deux niveaux assurent également l’appui aux activités de communication et de monitoring selon les besoins identifiés.</w:t>
      </w:r>
    </w:p>
    <w:p w:rsidR="004B4604" w:rsidRPr="00621BF1" w:rsidRDefault="004B4604" w:rsidP="004B4604">
      <w:pPr>
        <w:spacing w:after="120"/>
        <w:jc w:val="both"/>
        <w:rPr>
          <w:rFonts w:cs="Arial"/>
          <w:b/>
          <w:bCs/>
        </w:rPr>
      </w:pPr>
      <w:r w:rsidRPr="00621BF1">
        <w:rPr>
          <w:rFonts w:cs="Arial"/>
          <w:b/>
          <w:bCs/>
        </w:rPr>
        <w:t>Niveau Centre de santé</w:t>
      </w:r>
    </w:p>
    <w:p w:rsidR="001E0F1D" w:rsidRPr="00621BF1" w:rsidRDefault="004B4604" w:rsidP="001E0F1D">
      <w:pPr>
        <w:spacing w:after="120"/>
        <w:jc w:val="both"/>
        <w:rPr>
          <w:rFonts w:cs="Arial"/>
          <w:bCs/>
        </w:rPr>
      </w:pPr>
      <w:r w:rsidRPr="00621BF1">
        <w:rPr>
          <w:rFonts w:cs="Arial"/>
          <w:bCs/>
        </w:rPr>
        <w:t xml:space="preserve">Le centre de santé est le niveau de plus opérationnel des activités de vaccination. Il assure l’offre des services de vaccination aux populations. La gestion du programme à ce niveau est sous la responsabilité du chef de centre de santé, appuyé par l’agent chargé de la vaccination et le comité de sante et d’hygiène du centre de santé. </w:t>
      </w:r>
    </w:p>
    <w:p w:rsidR="001E0F1D" w:rsidRPr="00621BF1" w:rsidRDefault="001E0F1D" w:rsidP="001E0F1D">
      <w:pPr>
        <w:spacing w:after="120"/>
        <w:jc w:val="both"/>
      </w:pPr>
    </w:p>
    <w:p w:rsidR="004B4604" w:rsidRPr="00621BF1" w:rsidRDefault="001E0F1D" w:rsidP="001E0F1D">
      <w:pPr>
        <w:pStyle w:val="Titre2"/>
      </w:pPr>
      <w:bookmarkStart w:id="114" w:name="_Toc458593651"/>
      <w:r w:rsidRPr="00621BF1">
        <w:t>GESTION ADMINISTRATIVE</w:t>
      </w:r>
      <w:bookmarkEnd w:id="114"/>
    </w:p>
    <w:p w:rsidR="004B4604" w:rsidRPr="00621BF1" w:rsidRDefault="004B4604" w:rsidP="004B4604">
      <w:pPr>
        <w:spacing w:after="120"/>
        <w:jc w:val="both"/>
        <w:rPr>
          <w:rFonts w:cs="Arial"/>
          <w:bCs/>
          <w:lang w:val="fr-BE"/>
        </w:rPr>
      </w:pPr>
      <w:r w:rsidRPr="00621BF1">
        <w:rPr>
          <w:rFonts w:cs="Arial"/>
          <w:color w:val="000000"/>
        </w:rPr>
        <w:t xml:space="preserve">En Guinée, le programme élargi de vaccination est une réalité depuis 1979. Il est intégré au système de santé à structure pyramidale (poste de santé, centre de santé, hôpital préfectoral, hôpital régional, hôpital national). La redynamisation du secteur s’est concrétisée avec le lancement des premiers centres de santé du  Programme Elargi de vaccination, soins de santé primaire et médicaments essentiels (PEV / SSP / ME) à partir de 1988.  </w:t>
      </w:r>
    </w:p>
    <w:p w:rsidR="004B4604" w:rsidRPr="00621BF1" w:rsidRDefault="004B4604" w:rsidP="004B4604">
      <w:pPr>
        <w:spacing w:after="120"/>
        <w:jc w:val="both"/>
        <w:rPr>
          <w:rFonts w:cs="Arial"/>
          <w:color w:val="000000"/>
        </w:rPr>
      </w:pPr>
      <w:r w:rsidRPr="00621BF1">
        <w:rPr>
          <w:rFonts w:cs="Arial"/>
        </w:rPr>
        <w:t xml:space="preserve">Les transferts de compétences dans les domaines de la santé dont la vaccination en faveur des populations </w:t>
      </w:r>
      <w:proofErr w:type="gramStart"/>
      <w:r w:rsidRPr="00621BF1">
        <w:rPr>
          <w:rFonts w:cs="Arial"/>
        </w:rPr>
        <w:t>cibles</w:t>
      </w:r>
      <w:proofErr w:type="gramEnd"/>
      <w:r w:rsidRPr="00621BF1">
        <w:rPr>
          <w:rFonts w:cs="Arial"/>
        </w:rPr>
        <w:t xml:space="preserve"> ainsi que la déconcentration administrative et la délégation de compétence, visent une meilleure implication de la communauté et des autorités locales dans la gestion des ressources des formations sanitaires.</w:t>
      </w:r>
      <w:r w:rsidRPr="00621BF1">
        <w:rPr>
          <w:rFonts w:cs="Arial"/>
          <w:color w:val="000000"/>
        </w:rPr>
        <w:t xml:space="preserve"> </w:t>
      </w:r>
    </w:p>
    <w:p w:rsidR="004B4604" w:rsidRPr="00621BF1" w:rsidRDefault="004B4604" w:rsidP="004B4604">
      <w:pPr>
        <w:pStyle w:val="Titre3"/>
      </w:pPr>
      <w:bookmarkStart w:id="115" w:name="_Toc452745764"/>
      <w:bookmarkStart w:id="116" w:name="_Toc452746496"/>
      <w:bookmarkStart w:id="117" w:name="_Toc452747515"/>
      <w:bookmarkStart w:id="118" w:name="_Toc458593652"/>
      <w:r w:rsidRPr="00621BF1">
        <w:t>Coordination et partenariat</w:t>
      </w:r>
      <w:bookmarkEnd w:id="115"/>
      <w:bookmarkEnd w:id="116"/>
      <w:bookmarkEnd w:id="117"/>
      <w:bookmarkEnd w:id="118"/>
      <w:r w:rsidRPr="00621BF1">
        <w:t> </w:t>
      </w:r>
    </w:p>
    <w:p w:rsidR="00485B39" w:rsidRPr="00621BF1" w:rsidRDefault="00485B39" w:rsidP="00485B39">
      <w:pPr>
        <w:autoSpaceDE w:val="0"/>
        <w:autoSpaceDN w:val="0"/>
        <w:adjustRightInd w:val="0"/>
        <w:spacing w:after="120"/>
        <w:jc w:val="both"/>
        <w:rPr>
          <w:rFonts w:cs="Arial"/>
        </w:rPr>
      </w:pPr>
      <w:r w:rsidRPr="00621BF1">
        <w:rPr>
          <w:rFonts w:cs="Arial"/>
        </w:rPr>
        <w:t xml:space="preserve">La Coordination nationale du PEV/SSP coordonne l’ensemble des activités de vaccination sur toute l’étendue du territoire. </w:t>
      </w:r>
    </w:p>
    <w:p w:rsidR="00485B39" w:rsidRPr="00621BF1" w:rsidRDefault="00485B39" w:rsidP="00485B39">
      <w:pPr>
        <w:autoSpaceDE w:val="0"/>
        <w:autoSpaceDN w:val="0"/>
        <w:adjustRightInd w:val="0"/>
        <w:spacing w:after="120"/>
        <w:jc w:val="both"/>
        <w:rPr>
          <w:rFonts w:cs="Arial"/>
        </w:rPr>
      </w:pPr>
      <w:r w:rsidRPr="00621BF1">
        <w:rPr>
          <w:rFonts w:cs="Arial"/>
        </w:rPr>
        <w:t>Le Comité de Coordination Inter Agence (CCIA) pour le Programme Elargi de Vaccination de Guinée a été créé par arrêté Ministériel du 19 janvier 2001. La version corrigée des textes de fonctionnement du CCIA est en attente d’approbation. Le Comité est fonctionnel et discute de toutes les activités relatives au PEV. Ce comité regroupe toutes les parties prenantes et est présidé par Monsieur le Ministre de la santé et son secrétariat est assuré par la section immunisation du PEV.</w:t>
      </w:r>
    </w:p>
    <w:p w:rsidR="00485B39" w:rsidRPr="00621BF1" w:rsidRDefault="00485B39" w:rsidP="00485B39">
      <w:pPr>
        <w:autoSpaceDE w:val="0"/>
        <w:autoSpaceDN w:val="0"/>
        <w:adjustRightInd w:val="0"/>
        <w:spacing w:after="120"/>
        <w:jc w:val="both"/>
        <w:rPr>
          <w:rFonts w:cs="Arial"/>
        </w:rPr>
      </w:pPr>
      <w:r w:rsidRPr="00621BF1">
        <w:rPr>
          <w:rFonts w:cs="Arial"/>
        </w:rPr>
        <w:t xml:space="preserve">Il comprend comme membres, entre autres, les principaux partenaires extérieurs du PEV dont, </w:t>
      </w:r>
      <w:proofErr w:type="spellStart"/>
      <w:r w:rsidRPr="00621BF1">
        <w:rPr>
          <w:rFonts w:cs="Arial"/>
        </w:rPr>
        <w:t>Gavi</w:t>
      </w:r>
      <w:proofErr w:type="spellEnd"/>
      <w:r w:rsidRPr="00621BF1">
        <w:rPr>
          <w:rFonts w:cs="Arial"/>
        </w:rPr>
        <w:t xml:space="preserve">, OMS, UNICEF, CDC, AMP, </w:t>
      </w:r>
      <w:proofErr w:type="spellStart"/>
      <w:r w:rsidRPr="00621BF1">
        <w:rPr>
          <w:rFonts w:cs="Arial"/>
        </w:rPr>
        <w:t>POSSaV</w:t>
      </w:r>
      <w:proofErr w:type="spellEnd"/>
      <w:r w:rsidRPr="00621BF1">
        <w:rPr>
          <w:rFonts w:cs="Arial"/>
        </w:rPr>
        <w:t>, BMGF, JICA, ROTARY Club, USAID, Croix Rouge, HKI, BM UNFPA, PNUD,… ainsi que les représentants des Directions Nationales du Ministère de la Santé, et d’autres Ministères. Le CCIA  se réunit une (1) fois par trimestre pour l’analyse et le suivi de l’état d’avancement des activités du PEV dont ceux  issus des supports fournis par GAVI.</w:t>
      </w:r>
    </w:p>
    <w:p w:rsidR="00485B39" w:rsidRPr="00621BF1" w:rsidRDefault="00485B39" w:rsidP="00485B39">
      <w:pPr>
        <w:autoSpaceDE w:val="0"/>
        <w:autoSpaceDN w:val="0"/>
        <w:adjustRightInd w:val="0"/>
        <w:spacing w:after="120"/>
        <w:jc w:val="both"/>
        <w:rPr>
          <w:rFonts w:cs="Arial"/>
        </w:rPr>
      </w:pPr>
      <w:r w:rsidRPr="00621BF1">
        <w:rPr>
          <w:rFonts w:cs="Arial"/>
        </w:rPr>
        <w:t>Pour un meilleur fonctionnement du CCIA, il est envisagé une version révisée des textes règlementaires. Cette révision vise le relèvement du niveau de prise de décision par l’implication des représentants de l’Etat (Ministres, Secrétaires généraux, conseillers, Directeurs nationaux, etc.), des représentants des institutions partenaires et de la société civile. En effet, le CCIA s’engage à forger des partenariats solides en mobilisant et coordonnant les contributions et les ressources  nationales et internationales pour les mettre au service du programme pour le bien-être de l’enfant.</w:t>
      </w:r>
    </w:p>
    <w:p w:rsidR="00485B39" w:rsidRDefault="00485B39" w:rsidP="00485B39">
      <w:pPr>
        <w:autoSpaceDE w:val="0"/>
        <w:autoSpaceDN w:val="0"/>
        <w:adjustRightInd w:val="0"/>
        <w:spacing w:after="120"/>
        <w:jc w:val="both"/>
        <w:rPr>
          <w:rFonts w:cs="Arial"/>
        </w:rPr>
      </w:pPr>
      <w:r w:rsidRPr="00621BF1">
        <w:rPr>
          <w:rFonts w:cs="Arial"/>
        </w:rPr>
        <w:t>Le Comité des Experts Polio, le Comité National de Certification et le Groupe Spécial de Confinement pour la Poliomyélite sont fonctionnels.</w:t>
      </w:r>
    </w:p>
    <w:p w:rsidR="00485B39" w:rsidRPr="0026326A" w:rsidRDefault="00485B39" w:rsidP="00485B39">
      <w:pPr>
        <w:spacing w:line="360" w:lineRule="auto"/>
        <w:jc w:val="both"/>
        <w:rPr>
          <w:rFonts w:cs="Arial"/>
        </w:rPr>
      </w:pPr>
      <w:r w:rsidRPr="0026326A">
        <w:rPr>
          <w:rFonts w:cs="Arial"/>
        </w:rPr>
        <w:lastRenderedPageBreak/>
        <w:t xml:space="preserve">Le groupe technique consultatif créé par arrêté signé en juillet 2018 sera en charge d’apporter au Ministre de la Santé et aux responsables du Programme Elargi de Vaccination  des orientations dans la définition et la mise en œuvre des politiques et stratégies nationales de vaccination.  </w:t>
      </w:r>
    </w:p>
    <w:p w:rsidR="00485B39" w:rsidRPr="00621BF1" w:rsidRDefault="00485B39" w:rsidP="00485B39">
      <w:pPr>
        <w:autoSpaceDE w:val="0"/>
        <w:autoSpaceDN w:val="0"/>
        <w:adjustRightInd w:val="0"/>
        <w:spacing w:after="120"/>
        <w:jc w:val="both"/>
        <w:rPr>
          <w:rFonts w:cs="Arial"/>
        </w:rPr>
      </w:pPr>
      <w:r w:rsidRPr="00621BF1">
        <w:rPr>
          <w:rFonts w:cs="Arial"/>
        </w:rPr>
        <w:t>Les instances de coordination fonctionnent à tous les niveaux (Synthèse S/P, CTPS CTRS,  CTC,  Revue annuelle SSP).</w:t>
      </w:r>
    </w:p>
    <w:p w:rsidR="00485B39" w:rsidRPr="00621BF1" w:rsidRDefault="00485B39" w:rsidP="00485B39">
      <w:pPr>
        <w:spacing w:after="120"/>
        <w:rPr>
          <w:rFonts w:cs="Arial"/>
        </w:rPr>
      </w:pPr>
      <w:r w:rsidRPr="00621BF1">
        <w:rPr>
          <w:rFonts w:cs="Arial"/>
        </w:rPr>
        <w:t>La collaboration étroite existant entre les partenaires bi et multilatéraux et le Ministère de la santé est une opportunité pour la réalisation d’actions concertées et la conduite d’un fort plaidoyer en faveur des activités du PEV.</w:t>
      </w:r>
    </w:p>
    <w:p w:rsidR="004B4604" w:rsidRPr="00621BF1" w:rsidRDefault="004B4604" w:rsidP="004B4604">
      <w:pPr>
        <w:pStyle w:val="Titre3"/>
      </w:pPr>
      <w:bookmarkStart w:id="119" w:name="_Toc458593653"/>
      <w:r w:rsidRPr="00621BF1">
        <w:t>Gestion des Ressources Humaines et renforcement des capacités</w:t>
      </w:r>
      <w:bookmarkEnd w:id="119"/>
      <w:r w:rsidRPr="00621BF1">
        <w:t> </w:t>
      </w:r>
    </w:p>
    <w:p w:rsidR="004B4604" w:rsidRPr="00621BF1" w:rsidRDefault="004B4604" w:rsidP="004B4604">
      <w:pPr>
        <w:pStyle w:val="Titre4"/>
      </w:pPr>
      <w:r w:rsidRPr="00621BF1">
        <w:t>Gestion des ressources humaines</w:t>
      </w:r>
    </w:p>
    <w:p w:rsidR="004B4604" w:rsidRPr="00621BF1" w:rsidRDefault="004B4604" w:rsidP="004B4604">
      <w:pPr>
        <w:autoSpaceDE w:val="0"/>
        <w:autoSpaceDN w:val="0"/>
        <w:adjustRightInd w:val="0"/>
        <w:spacing w:after="120"/>
        <w:jc w:val="both"/>
        <w:rPr>
          <w:rFonts w:cs="Arial"/>
        </w:rPr>
      </w:pPr>
      <w:r w:rsidRPr="00621BF1">
        <w:rPr>
          <w:rFonts w:cs="Arial"/>
        </w:rPr>
        <w:t>En fonction du niveau de la pyramide sanitaire, le PEV bénéficie de l’appui d’un personnel permanent de l’Etat travaillant à temps plein d’une part et d’autre part des agents contractuels engagés par le Programme à travers le financement des partenaires.  Ce personnel reste insuffisant à tous les niveaux, particulièrement dans les zones rurales tant par la qualité que la quantité. Un plan de recrutement des agents par le gouvernement est en cours d’exécution.</w:t>
      </w:r>
    </w:p>
    <w:p w:rsidR="004B4604" w:rsidRPr="00621BF1" w:rsidRDefault="004B4604" w:rsidP="004B4604">
      <w:pPr>
        <w:pStyle w:val="Titre4"/>
      </w:pPr>
      <w:r w:rsidRPr="00621BF1">
        <w:t>Renforcement des capacités des ressources humaines</w:t>
      </w:r>
    </w:p>
    <w:p w:rsidR="004B4604" w:rsidRPr="00621BF1" w:rsidRDefault="004B4604" w:rsidP="004B4604">
      <w:pPr>
        <w:autoSpaceDE w:val="0"/>
        <w:autoSpaceDN w:val="0"/>
        <w:adjustRightInd w:val="0"/>
        <w:spacing w:after="120"/>
        <w:jc w:val="both"/>
        <w:rPr>
          <w:rFonts w:cs="Arial"/>
        </w:rPr>
      </w:pPr>
      <w:r w:rsidRPr="00621BF1">
        <w:rPr>
          <w:rFonts w:cs="Arial"/>
        </w:rPr>
        <w:t xml:space="preserve">Le renforcement  des capacités est une priorité pour le PEV. Ainsi le programme prévoit toujours dans son plan d’action cette activité. Plusieurs cadres et agents ont bénéficié de formation sur la gestion du PEV, la surveillance des maladies, le </w:t>
      </w:r>
      <w:proofErr w:type="spellStart"/>
      <w:r w:rsidRPr="00621BF1">
        <w:rPr>
          <w:rFonts w:cs="Arial"/>
        </w:rPr>
        <w:t>Mid</w:t>
      </w:r>
      <w:proofErr w:type="spellEnd"/>
      <w:r w:rsidRPr="00621BF1">
        <w:rPr>
          <w:rFonts w:cs="Arial"/>
        </w:rPr>
        <w:t xml:space="preserve"> </w:t>
      </w:r>
      <w:proofErr w:type="spellStart"/>
      <w:r w:rsidRPr="00621BF1">
        <w:rPr>
          <w:rFonts w:cs="Arial"/>
        </w:rPr>
        <w:t>Level</w:t>
      </w:r>
      <w:proofErr w:type="spellEnd"/>
      <w:r w:rsidRPr="00621BF1">
        <w:rPr>
          <w:rFonts w:cs="Arial"/>
        </w:rPr>
        <w:t xml:space="preserve"> Management du PEV (MLM) et </w:t>
      </w:r>
      <w:proofErr w:type="spellStart"/>
      <w:r w:rsidRPr="00621BF1">
        <w:rPr>
          <w:rFonts w:cs="Arial"/>
        </w:rPr>
        <w:t>vaccinologie</w:t>
      </w:r>
      <w:proofErr w:type="spellEnd"/>
      <w:r w:rsidRPr="00621BF1">
        <w:rPr>
          <w:rFonts w:cs="Arial"/>
        </w:rPr>
        <w:t>. Des efforts sont en cours pour l’intégration de l’enseignement de la gestion du PEV dans les curricula des écoles et instituts de formation de santé. Les activités de formation doivent être renforcées à tous les niveaux sur tous les aspects du PEV dans ce présent PPAC.</w:t>
      </w:r>
    </w:p>
    <w:p w:rsidR="004B4604" w:rsidRPr="00621BF1" w:rsidRDefault="004B4604" w:rsidP="004B4604">
      <w:pPr>
        <w:autoSpaceDE w:val="0"/>
        <w:autoSpaceDN w:val="0"/>
        <w:adjustRightInd w:val="0"/>
        <w:spacing w:after="120"/>
        <w:jc w:val="both"/>
        <w:rPr>
          <w:rFonts w:cs="Arial"/>
          <w:bCs/>
        </w:rPr>
      </w:pPr>
      <w:r w:rsidRPr="00621BF1">
        <w:rPr>
          <w:rFonts w:cs="Arial"/>
        </w:rPr>
        <w:t>Malgré ces acquis, on note des insuffisances dans le domaine de la gestion administrative notamment, des insuffisances dans les descriptions de postes, les définitions de profils dans la plupart des structures de santé. A cela s’ajoute une rémunération jugée faible. Ce qui favorise les difficultés de fidélisation des agents dans les zones rurales et leur départ vers les grandes agglomérations, le secteur privé, les organismes internationaux, ONG et autres associations</w:t>
      </w:r>
      <w:r w:rsidRPr="00621BF1">
        <w:rPr>
          <w:rFonts w:cs="Arial"/>
          <w:bCs/>
        </w:rPr>
        <w:t>.</w:t>
      </w:r>
    </w:p>
    <w:p w:rsidR="004B4604" w:rsidRPr="00621BF1" w:rsidRDefault="004B4604" w:rsidP="004B4604">
      <w:pPr>
        <w:pStyle w:val="Titre3"/>
      </w:pPr>
      <w:bookmarkStart w:id="120" w:name="_Toc452745763"/>
      <w:bookmarkStart w:id="121" w:name="_Toc452746495"/>
      <w:bookmarkStart w:id="122" w:name="_Toc452747514"/>
      <w:bookmarkStart w:id="123" w:name="_Toc458593654"/>
      <w:r w:rsidRPr="00621BF1">
        <w:t>Planification</w:t>
      </w:r>
      <w:bookmarkEnd w:id="120"/>
      <w:bookmarkEnd w:id="121"/>
      <w:bookmarkEnd w:id="122"/>
      <w:bookmarkEnd w:id="123"/>
    </w:p>
    <w:p w:rsidR="004B4604" w:rsidRPr="00621BF1" w:rsidRDefault="004B4604" w:rsidP="004B4604">
      <w:pPr>
        <w:autoSpaceDE w:val="0"/>
        <w:autoSpaceDN w:val="0"/>
        <w:adjustRightInd w:val="0"/>
        <w:spacing w:after="120"/>
        <w:jc w:val="both"/>
        <w:rPr>
          <w:rFonts w:cs="Arial"/>
          <w:bCs/>
        </w:rPr>
      </w:pPr>
      <w:r w:rsidRPr="00621BF1">
        <w:rPr>
          <w:rFonts w:cs="Arial"/>
          <w:bCs/>
        </w:rPr>
        <w:t>Le programme est à son 4</w:t>
      </w:r>
      <w:r w:rsidRPr="00621BF1">
        <w:rPr>
          <w:rFonts w:cs="Arial"/>
          <w:bCs/>
          <w:vertAlign w:val="superscript"/>
        </w:rPr>
        <w:t>ème</w:t>
      </w:r>
      <w:r w:rsidRPr="00621BF1">
        <w:rPr>
          <w:rFonts w:cs="Arial"/>
          <w:bCs/>
        </w:rPr>
        <w:t xml:space="preserve"> PPAC, le dernier étant celui de 2011-2015. En Guinée, les activités du PEV s’inscrivent dans les plans annuels de chaque région et district sanitaires et prennent en compte les activités de vaccination de routine, les AVS, la surveillance épidémiologique, le monitorage pour action, la communication et l’approvisionnement en vaccins et consommables. </w:t>
      </w:r>
    </w:p>
    <w:p w:rsidR="004B4604" w:rsidRPr="00621BF1" w:rsidRDefault="004B4604" w:rsidP="004B4604">
      <w:pPr>
        <w:autoSpaceDE w:val="0"/>
        <w:autoSpaceDN w:val="0"/>
        <w:adjustRightInd w:val="0"/>
        <w:spacing w:after="120"/>
        <w:jc w:val="both"/>
        <w:rPr>
          <w:rFonts w:cs="Arial"/>
        </w:rPr>
      </w:pPr>
      <w:r w:rsidRPr="00621BF1">
        <w:rPr>
          <w:rFonts w:cs="Arial"/>
        </w:rPr>
        <w:t>La gestion des ressources humaines du programme s’inscrit dans le cadre général de la gestion des ressources humaines du ministère de la santé.</w:t>
      </w:r>
    </w:p>
    <w:p w:rsidR="004B4604" w:rsidRPr="00621BF1" w:rsidRDefault="004B4604" w:rsidP="004B4604">
      <w:pPr>
        <w:autoSpaceDE w:val="0"/>
        <w:autoSpaceDN w:val="0"/>
        <w:adjustRightInd w:val="0"/>
        <w:spacing w:after="120"/>
        <w:jc w:val="both"/>
        <w:rPr>
          <w:rFonts w:cs="Arial"/>
        </w:rPr>
      </w:pPr>
      <w:r w:rsidRPr="00621BF1">
        <w:rPr>
          <w:rFonts w:cs="Arial"/>
        </w:rPr>
        <w:t>L’analyse de situation de la gestion des ressources humaines du programme faite dans ce document est abordée dans cinq (5) thématiques qui sont : i) gestion administrative, ii) gestion des effectifs,  iii) formation, iv) supervision et v) motivation.</w:t>
      </w:r>
    </w:p>
    <w:p w:rsidR="004B4604" w:rsidRPr="00621BF1" w:rsidRDefault="004B4604" w:rsidP="004B4604">
      <w:pPr>
        <w:pStyle w:val="Titre3"/>
      </w:pPr>
      <w:bookmarkStart w:id="124" w:name="_Toc452745765"/>
      <w:bookmarkStart w:id="125" w:name="_Toc452746497"/>
      <w:bookmarkStart w:id="126" w:name="_Toc452747516"/>
      <w:r w:rsidRPr="00621BF1">
        <w:lastRenderedPageBreak/>
        <w:t xml:space="preserve"> </w:t>
      </w:r>
      <w:bookmarkStart w:id="127" w:name="_Toc458593655"/>
      <w:r w:rsidRPr="00621BF1">
        <w:t>Supervision / Monitoring / Evaluation</w:t>
      </w:r>
      <w:bookmarkEnd w:id="124"/>
      <w:bookmarkEnd w:id="125"/>
      <w:bookmarkEnd w:id="126"/>
      <w:bookmarkEnd w:id="127"/>
      <w:r w:rsidRPr="00621BF1">
        <w:t> </w:t>
      </w:r>
    </w:p>
    <w:p w:rsidR="00485B39" w:rsidRPr="00621BF1" w:rsidRDefault="00485B39" w:rsidP="00485B39">
      <w:pPr>
        <w:autoSpaceDE w:val="0"/>
        <w:autoSpaceDN w:val="0"/>
        <w:adjustRightInd w:val="0"/>
        <w:spacing w:after="120"/>
        <w:jc w:val="both"/>
        <w:rPr>
          <w:rFonts w:cs="Arial"/>
        </w:rPr>
      </w:pPr>
      <w:r w:rsidRPr="00621BF1">
        <w:rPr>
          <w:rFonts w:cs="Arial"/>
        </w:rPr>
        <w:t>Le suivi et l’évaluation sont des étapes nécessaires pour permettre de documenter les progrès et les insuffisances, afin d’opérer des révisions appropriées dans la mise en œuvre des activités. Cependant la mesure correcte du taux de couverture est une indication importante de la réduction de la morbidité et de la mortalité liées à ces infections. Le PEV va s’appuyer sur les données administratives de couverture vaccinale, mais aussi sur des études ponctuelles (enquêtes) qui sont régulièrement organisées comme par exemple l’Enquête Démographique et de Santé (EDS)</w:t>
      </w:r>
      <w:proofErr w:type="gramStart"/>
      <w:r>
        <w:rPr>
          <w:rFonts w:cs="Arial"/>
        </w:rPr>
        <w:t>,MICS</w:t>
      </w:r>
      <w:proofErr w:type="gramEnd"/>
      <w:r w:rsidRPr="00621BF1">
        <w:rPr>
          <w:rFonts w:cs="Arial"/>
        </w:rPr>
        <w:t xml:space="preserve"> et la revue externe du programme. </w:t>
      </w:r>
    </w:p>
    <w:p w:rsidR="00485B39" w:rsidRPr="00621BF1" w:rsidRDefault="00485B39" w:rsidP="00485B39">
      <w:pPr>
        <w:autoSpaceDE w:val="0"/>
        <w:autoSpaceDN w:val="0"/>
        <w:adjustRightInd w:val="0"/>
        <w:spacing w:after="120"/>
        <w:jc w:val="both"/>
        <w:rPr>
          <w:rFonts w:cs="Arial"/>
          <w:highlight w:val="cyan"/>
        </w:rPr>
      </w:pPr>
      <w:r w:rsidRPr="00621BF1">
        <w:rPr>
          <w:rFonts w:cs="Arial"/>
        </w:rPr>
        <w:t>La norme recommandée pour la supervision est d’une sortie semestrielle du niveau central vers les régions et districts ; une sortie trimestrielle de la région vers les districts et mensuelle des districts vers les CS. L’interférence des activités des régions et districts par le niveau central, l’insuffisance de personne qualifie dans les équipes cadre des districts et des régions, les faibles capacités de réactivité ne permettent pas toujours d’atteindre les objectifs du programme.</w:t>
      </w:r>
    </w:p>
    <w:p w:rsidR="00485B39" w:rsidRPr="00621BF1" w:rsidRDefault="00485B39" w:rsidP="00485B39">
      <w:pPr>
        <w:autoSpaceDE w:val="0"/>
        <w:autoSpaceDN w:val="0"/>
        <w:adjustRightInd w:val="0"/>
        <w:spacing w:after="120"/>
        <w:jc w:val="both"/>
        <w:rPr>
          <w:rFonts w:cs="Arial"/>
        </w:rPr>
      </w:pPr>
      <w:r w:rsidRPr="00621BF1">
        <w:rPr>
          <w:rFonts w:cs="Arial"/>
        </w:rPr>
        <w:t xml:space="preserve">Le monitorage se fait à tous les niveaux à travers la collecte, l’analyse, l’interprétation, la diffusion et la retro-information. Il se fait également lors des réunions semestrielles aux niveaux opérationnels et trimestriels des points focaux de surveillance avec l’appui du niveau central. Il faut cependant noter que ce monitorage tel qu’appliqué n’aide pas à une meilleure prise de décision pour l’amélioration de la performance du système. </w:t>
      </w:r>
    </w:p>
    <w:p w:rsidR="00485B39" w:rsidRDefault="00485B39" w:rsidP="00485B39">
      <w:pPr>
        <w:autoSpaceDE w:val="0"/>
        <w:autoSpaceDN w:val="0"/>
        <w:adjustRightInd w:val="0"/>
        <w:spacing w:after="120"/>
        <w:jc w:val="both"/>
        <w:rPr>
          <w:rFonts w:cs="Arial"/>
        </w:rPr>
      </w:pPr>
      <w:r w:rsidRPr="00621BF1">
        <w:rPr>
          <w:rFonts w:cs="Arial"/>
        </w:rPr>
        <w:t>Il existe au niveau national, régional et  district des outils informatiques permettant le</w:t>
      </w:r>
      <w:r>
        <w:rPr>
          <w:rFonts w:cs="Arial"/>
        </w:rPr>
        <w:t xml:space="preserve"> traitement des données.</w:t>
      </w:r>
    </w:p>
    <w:p w:rsidR="00485B39" w:rsidRPr="00621BF1" w:rsidRDefault="00485B39" w:rsidP="00485B39">
      <w:pPr>
        <w:autoSpaceDE w:val="0"/>
        <w:autoSpaceDN w:val="0"/>
        <w:adjustRightInd w:val="0"/>
        <w:spacing w:after="120"/>
        <w:jc w:val="both"/>
        <w:rPr>
          <w:rFonts w:cs="Arial"/>
        </w:rPr>
      </w:pPr>
      <w:r w:rsidRPr="0026326A">
        <w:rPr>
          <w:rFonts w:cs="Arial"/>
        </w:rPr>
        <w:t xml:space="preserve">Le DVD MT et le DHS2 ont été </w:t>
      </w:r>
      <w:r w:rsidRPr="00621BF1">
        <w:rPr>
          <w:rFonts w:cs="Arial"/>
        </w:rPr>
        <w:t>mis à la disposition d</w:t>
      </w:r>
      <w:r>
        <w:rPr>
          <w:rFonts w:cs="Arial"/>
        </w:rPr>
        <w:t>es régions et districts mais leur</w:t>
      </w:r>
      <w:r w:rsidRPr="00621BF1">
        <w:rPr>
          <w:rFonts w:cs="Arial"/>
        </w:rPr>
        <w:t xml:space="preserve"> utilisation n’est pas encore effective par insuffisance de formation. Les Centres de santé sont dotés de supports de collecte et d’analyse des données. L’analyse et l’interprétation des rapports de vaccination à tous les niveaux devraient permettent d’apprécier les indicateurs de gestion du programme. Cependant des insuffisances dans la gestion des données demeurent encore une préoccupation. </w:t>
      </w:r>
    </w:p>
    <w:p w:rsidR="00485B39" w:rsidRPr="00621BF1" w:rsidRDefault="00485B39" w:rsidP="00485B39">
      <w:pPr>
        <w:autoSpaceDE w:val="0"/>
        <w:autoSpaceDN w:val="0"/>
        <w:adjustRightInd w:val="0"/>
        <w:spacing w:after="120"/>
        <w:jc w:val="both"/>
        <w:rPr>
          <w:rFonts w:cs="Arial"/>
        </w:rPr>
      </w:pPr>
      <w:r w:rsidRPr="00621BF1">
        <w:rPr>
          <w:rFonts w:cs="Arial"/>
        </w:rPr>
        <w:t xml:space="preserve">Par ailleurs, il existe une irrégularité dans la tenue des réunions mensuelles de rétro information par un manque  d’appui financier. </w:t>
      </w:r>
    </w:p>
    <w:p w:rsidR="004B4604" w:rsidRPr="00621BF1" w:rsidRDefault="004B4604" w:rsidP="004B4604">
      <w:pPr>
        <w:pStyle w:val="Titre3"/>
      </w:pPr>
      <w:bookmarkStart w:id="128" w:name="_Toc452745766"/>
      <w:bookmarkStart w:id="129" w:name="_Toc452746498"/>
      <w:bookmarkStart w:id="130" w:name="_Toc452747517"/>
      <w:bookmarkStart w:id="131" w:name="_Toc458593656"/>
      <w:r w:rsidRPr="00621BF1">
        <w:t>Financement du programme</w:t>
      </w:r>
      <w:bookmarkEnd w:id="128"/>
      <w:bookmarkEnd w:id="129"/>
      <w:bookmarkEnd w:id="130"/>
      <w:bookmarkEnd w:id="131"/>
    </w:p>
    <w:p w:rsidR="00485B39" w:rsidRPr="00621BF1" w:rsidRDefault="00485B39" w:rsidP="00485B39">
      <w:pPr>
        <w:autoSpaceDE w:val="0"/>
        <w:autoSpaceDN w:val="0"/>
        <w:adjustRightInd w:val="0"/>
        <w:spacing w:after="120"/>
        <w:jc w:val="both"/>
        <w:rPr>
          <w:rFonts w:cs="Arial"/>
        </w:rPr>
      </w:pPr>
      <w:r w:rsidRPr="00621BF1">
        <w:rPr>
          <w:rFonts w:cs="Arial"/>
        </w:rPr>
        <w:t xml:space="preserve">Le financement du système de santé apparaît aujourd’hui déficient, et le Gouvernement éprouve de nombreuses difficultés pour mobiliser des ressources additionnelles nécessaires pour consolider les acquis et améliorer les performances sanitaires, notamment pour le PEV. </w:t>
      </w:r>
    </w:p>
    <w:p w:rsidR="00485B39" w:rsidRPr="0026326A" w:rsidRDefault="00485B39" w:rsidP="00485B39">
      <w:pPr>
        <w:autoSpaceDE w:val="0"/>
        <w:autoSpaceDN w:val="0"/>
        <w:adjustRightInd w:val="0"/>
        <w:spacing w:after="120"/>
        <w:jc w:val="both"/>
        <w:rPr>
          <w:rFonts w:cs="Arial"/>
        </w:rPr>
      </w:pPr>
      <w:r w:rsidRPr="00621BF1">
        <w:rPr>
          <w:rFonts w:cs="Arial"/>
        </w:rPr>
        <w:t>Le PEV en Guinée reste très tributaire des financements extérieurs ; les vaccins sont essentiellement acquis grâce à ces financements sous forme de dons non remboursables. La Coopération Japonaise (JICA) a assuré le financement de la majorité des vaccins du PEV de routine en 2006</w:t>
      </w:r>
      <w:r>
        <w:rPr>
          <w:rFonts w:cs="Arial"/>
        </w:rPr>
        <w:t>,</w:t>
      </w:r>
      <w:r w:rsidRPr="00621BF1">
        <w:rPr>
          <w:rFonts w:cs="Arial"/>
        </w:rPr>
        <w:t xml:space="preserve"> l’UNICEF</w:t>
      </w:r>
      <w:r>
        <w:rPr>
          <w:rFonts w:cs="Arial"/>
        </w:rPr>
        <w:t xml:space="preserve"> et </w:t>
      </w:r>
      <w:r w:rsidRPr="0026326A">
        <w:rPr>
          <w:rFonts w:cs="Arial"/>
        </w:rPr>
        <w:t>le Gouvernement de 2011 à 2017. Les équipements et le matériel de la chaîne de froid sont quant à eux financés par l’Etat, l’UNICEF, la JICA, ROTARY et l’OMS.</w:t>
      </w:r>
    </w:p>
    <w:p w:rsidR="00485B39" w:rsidRPr="00621BF1" w:rsidRDefault="00485B39" w:rsidP="00485B39">
      <w:pPr>
        <w:autoSpaceDE w:val="0"/>
        <w:autoSpaceDN w:val="0"/>
        <w:adjustRightInd w:val="0"/>
        <w:spacing w:after="120"/>
        <w:jc w:val="both"/>
        <w:rPr>
          <w:rFonts w:cs="Arial"/>
        </w:rPr>
      </w:pPr>
      <w:r w:rsidRPr="00621BF1">
        <w:rPr>
          <w:rFonts w:cs="Arial"/>
        </w:rPr>
        <w:t>Dans le cadre d’une politique visant à financer progressivement l’approvisionnement en vaccins par des ressources nationales, l’initiative d’indépendance vaccinale a été mise en place depuis 2005 à travers un accord entre le Gouvernement Guinéen et l’UNICEF. Cet accord  a été respecté à  100% en 2007 et 2008.</w:t>
      </w:r>
    </w:p>
    <w:p w:rsidR="00485B39" w:rsidRPr="00621BF1" w:rsidRDefault="00485B39" w:rsidP="00485B39">
      <w:pPr>
        <w:pStyle w:val="Corpsdetexte"/>
        <w:rPr>
          <w:rFonts w:ascii="Gill Sans MT" w:hAnsi="Gill Sans MT"/>
          <w:sz w:val="22"/>
          <w:szCs w:val="22"/>
        </w:rPr>
      </w:pPr>
      <w:r w:rsidRPr="00621BF1">
        <w:rPr>
          <w:rFonts w:ascii="Gill Sans MT" w:hAnsi="Gill Sans MT"/>
          <w:sz w:val="22"/>
          <w:szCs w:val="22"/>
        </w:rPr>
        <w:t>La crise socio politique que le pays a connue de 2009 à 2013 a négativement influencé sur la mise en œuvre de cet accord. Cependant de 2011 à 2013, l’Etat a dégagé respectivement 74 597 000 GNF, 555 645 600 GNF et 5 891 950 000 GNF pour l’achat des vaccins</w:t>
      </w:r>
    </w:p>
    <w:p w:rsidR="00485B39" w:rsidRPr="00621BF1" w:rsidRDefault="00485B39" w:rsidP="00485B39">
      <w:pPr>
        <w:pStyle w:val="Corpsdetexte"/>
        <w:rPr>
          <w:rFonts w:ascii="Gill Sans MT" w:hAnsi="Gill Sans MT"/>
          <w:sz w:val="22"/>
          <w:szCs w:val="22"/>
        </w:rPr>
      </w:pPr>
      <w:r w:rsidRPr="00621BF1">
        <w:rPr>
          <w:rFonts w:ascii="Gill Sans MT" w:hAnsi="Gill Sans MT"/>
          <w:sz w:val="22"/>
          <w:szCs w:val="22"/>
        </w:rPr>
        <w:lastRenderedPageBreak/>
        <w:t xml:space="preserve">Par rapport au cofinancement des nouveaux vaccins, l’Etat </w:t>
      </w:r>
      <w:r>
        <w:rPr>
          <w:rFonts w:ascii="Gill Sans MT" w:hAnsi="Gill Sans MT"/>
          <w:sz w:val="22"/>
          <w:szCs w:val="22"/>
        </w:rPr>
        <w:t xml:space="preserve">a honoré ses engagements de  </w:t>
      </w:r>
      <w:r w:rsidRPr="0026326A">
        <w:rPr>
          <w:rFonts w:ascii="Gill Sans MT" w:hAnsi="Gill Sans MT"/>
          <w:sz w:val="22"/>
          <w:szCs w:val="22"/>
        </w:rPr>
        <w:t xml:space="preserve">2008 à 2017 </w:t>
      </w:r>
      <w:r w:rsidRPr="00621BF1">
        <w:rPr>
          <w:rFonts w:ascii="Gill Sans MT" w:hAnsi="Gill Sans MT"/>
          <w:sz w:val="22"/>
          <w:szCs w:val="22"/>
        </w:rPr>
        <w:t xml:space="preserve">malgré le retard de paiement. </w:t>
      </w:r>
    </w:p>
    <w:p w:rsidR="004B4604" w:rsidRPr="00621BF1" w:rsidRDefault="00485B39" w:rsidP="00485B39">
      <w:pPr>
        <w:autoSpaceDE w:val="0"/>
        <w:autoSpaceDN w:val="0"/>
        <w:adjustRightInd w:val="0"/>
        <w:spacing w:after="120"/>
        <w:jc w:val="both"/>
        <w:rPr>
          <w:color w:val="000000"/>
        </w:rPr>
      </w:pPr>
      <w:r w:rsidRPr="00621BF1">
        <w:rPr>
          <w:rFonts w:cs="Arial"/>
        </w:rPr>
        <w:t>La participation communautaire dans la gestion du programme se manifeste essentiellement par le système de recouvrement des coûts instauré au niveau des centres de santé en Guinée. Ce recouvrement de coût permettait de supporter certaines dépenses de fonctionnement du centre de santé (dépenses incompressibles et autres dépenses). Cependant depuis l’instauration de la politique de gratuite de certaines prestations (Soins obstétricaux, prise en charge du paludisme etc.), les centres éprouvent des difficultés de satisfaire les lignes susmentionnées</w:t>
      </w:r>
      <w:r>
        <w:rPr>
          <w:rFonts w:cs="Arial"/>
        </w:rPr>
        <w:t>.</w:t>
      </w:r>
    </w:p>
    <w:p w:rsidR="004B4604" w:rsidRPr="00621BF1" w:rsidRDefault="004B4604" w:rsidP="001E0F1D">
      <w:pPr>
        <w:pStyle w:val="Titre2"/>
      </w:pPr>
      <w:bookmarkStart w:id="132" w:name="_Toc433367230"/>
      <w:bookmarkStart w:id="133" w:name="_Toc451380178"/>
      <w:bookmarkStart w:id="134" w:name="_Toc452745778"/>
      <w:bookmarkStart w:id="135" w:name="_Toc452746510"/>
      <w:bookmarkStart w:id="136" w:name="_Toc452747529"/>
      <w:bookmarkStart w:id="137" w:name="_Toc458593657"/>
      <w:r w:rsidRPr="00621BF1">
        <w:t>COMMUNICATION</w:t>
      </w:r>
      <w:bookmarkEnd w:id="132"/>
      <w:bookmarkEnd w:id="133"/>
      <w:r w:rsidRPr="00621BF1">
        <w:t xml:space="preserve"> ET MOBILISATION SOCIALE</w:t>
      </w:r>
      <w:bookmarkEnd w:id="134"/>
      <w:bookmarkEnd w:id="135"/>
      <w:bookmarkEnd w:id="136"/>
      <w:bookmarkEnd w:id="137"/>
    </w:p>
    <w:p w:rsidR="004B4604" w:rsidRPr="00C819C0" w:rsidRDefault="004B4604" w:rsidP="004B4604">
      <w:pPr>
        <w:autoSpaceDE w:val="0"/>
        <w:autoSpaceDN w:val="0"/>
        <w:adjustRightInd w:val="0"/>
        <w:spacing w:after="120"/>
        <w:jc w:val="both"/>
        <w:rPr>
          <w:rFonts w:cs="Arial"/>
          <w:highlight w:val="yellow"/>
        </w:rPr>
      </w:pPr>
      <w:r w:rsidRPr="00C819C0">
        <w:rPr>
          <w:rFonts w:cs="Arial"/>
          <w:highlight w:val="yellow"/>
        </w:rPr>
        <w:t xml:space="preserve">La communication se présente comme l’un des volets importants des programmes de développement. Elle est déterminante dans l’atteinte des objectifs du PEV et  utilise 3 stratégies ci-après : </w:t>
      </w:r>
    </w:p>
    <w:p w:rsidR="004B4604" w:rsidRPr="00C819C0" w:rsidRDefault="004B4604" w:rsidP="0015288B">
      <w:pPr>
        <w:pStyle w:val="Paragraphedeliste"/>
        <w:numPr>
          <w:ilvl w:val="0"/>
          <w:numId w:val="14"/>
        </w:numPr>
        <w:autoSpaceDE w:val="0"/>
        <w:autoSpaceDN w:val="0"/>
        <w:adjustRightInd w:val="0"/>
        <w:spacing w:before="0"/>
        <w:jc w:val="both"/>
        <w:rPr>
          <w:rFonts w:cs="Arial"/>
          <w:highlight w:val="yellow"/>
        </w:rPr>
      </w:pPr>
      <w:r w:rsidRPr="00C819C0">
        <w:rPr>
          <w:rFonts w:cs="Arial"/>
          <w:highlight w:val="yellow"/>
        </w:rPr>
        <w:t xml:space="preserve">le plaidoyer </w:t>
      </w:r>
    </w:p>
    <w:p w:rsidR="004B4604" w:rsidRPr="00C819C0" w:rsidRDefault="004B4604" w:rsidP="0015288B">
      <w:pPr>
        <w:pStyle w:val="Paragraphedeliste"/>
        <w:numPr>
          <w:ilvl w:val="0"/>
          <w:numId w:val="14"/>
        </w:numPr>
        <w:autoSpaceDE w:val="0"/>
        <w:autoSpaceDN w:val="0"/>
        <w:adjustRightInd w:val="0"/>
        <w:spacing w:before="0"/>
        <w:jc w:val="both"/>
        <w:rPr>
          <w:rFonts w:cs="Arial"/>
          <w:highlight w:val="yellow"/>
        </w:rPr>
      </w:pPr>
      <w:r w:rsidRPr="00C819C0">
        <w:rPr>
          <w:rFonts w:cs="Arial"/>
          <w:highlight w:val="yellow"/>
        </w:rPr>
        <w:t xml:space="preserve">la mobilisation sociale et </w:t>
      </w:r>
    </w:p>
    <w:p w:rsidR="004B4604" w:rsidRPr="00621BF1" w:rsidRDefault="004B4604" w:rsidP="0015288B">
      <w:pPr>
        <w:pStyle w:val="Paragraphedeliste"/>
        <w:numPr>
          <w:ilvl w:val="0"/>
          <w:numId w:val="14"/>
        </w:numPr>
        <w:autoSpaceDE w:val="0"/>
        <w:autoSpaceDN w:val="0"/>
        <w:adjustRightInd w:val="0"/>
        <w:spacing w:before="0"/>
        <w:jc w:val="both"/>
        <w:rPr>
          <w:rFonts w:cs="Arial"/>
        </w:rPr>
      </w:pPr>
      <w:r w:rsidRPr="00C819C0">
        <w:rPr>
          <w:rFonts w:cs="Arial"/>
          <w:highlight w:val="yellow"/>
        </w:rPr>
        <w:t>la communication pour le changement de comportement.</w:t>
      </w:r>
      <w:r w:rsidRPr="00621BF1">
        <w:rPr>
          <w:rFonts w:cs="Arial"/>
        </w:rPr>
        <w:t xml:space="preserve"> </w:t>
      </w:r>
    </w:p>
    <w:p w:rsidR="004B4604" w:rsidRPr="00C819C0" w:rsidRDefault="004B4604" w:rsidP="004B4604">
      <w:pPr>
        <w:autoSpaceDE w:val="0"/>
        <w:autoSpaceDN w:val="0"/>
        <w:adjustRightInd w:val="0"/>
        <w:spacing w:after="120"/>
        <w:jc w:val="both"/>
        <w:rPr>
          <w:rFonts w:cs="Arial"/>
          <w:highlight w:val="yellow"/>
        </w:rPr>
      </w:pPr>
      <w:r w:rsidRPr="00C819C0">
        <w:rPr>
          <w:rFonts w:cs="Arial"/>
          <w:highlight w:val="yellow"/>
        </w:rPr>
        <w:t xml:space="preserve">L'approche participative qui nécessite l’implication des parties prenantes, y compris les bénéficiaires doit être privilégiée pour une meilleure prise de conscience du problème de vaccination, pour  ce faire, les participants ont été classés en trois parties. </w:t>
      </w:r>
    </w:p>
    <w:p w:rsidR="004B4604" w:rsidRPr="00C819C0" w:rsidRDefault="004B4604" w:rsidP="004B4604">
      <w:pPr>
        <w:autoSpaceDE w:val="0"/>
        <w:autoSpaceDN w:val="0"/>
        <w:adjustRightInd w:val="0"/>
        <w:spacing w:after="120"/>
        <w:jc w:val="both"/>
        <w:rPr>
          <w:rFonts w:cs="Arial"/>
          <w:highlight w:val="yellow"/>
        </w:rPr>
      </w:pPr>
      <w:r w:rsidRPr="00C819C0">
        <w:rPr>
          <w:rFonts w:cs="Arial"/>
          <w:highlight w:val="yellow"/>
        </w:rPr>
        <w:t>Les participants primaires sont constitués de  femmes enceintes, les mères et les gardiennes d’enfants 0-11 mois sont celles qui sont directement concernées par la vaccination et dont  on attend un changement de comportement. Les mères sont les premières personnes en charge de l’enfant et de sa santé, les actions de communication sont  plus concentrées sur elles, afin de  développer des attitudes et des pratiques positives.</w:t>
      </w:r>
    </w:p>
    <w:p w:rsidR="004B4604" w:rsidRPr="00C819C0" w:rsidRDefault="004B4604" w:rsidP="004B4604">
      <w:pPr>
        <w:autoSpaceDE w:val="0"/>
        <w:autoSpaceDN w:val="0"/>
        <w:adjustRightInd w:val="0"/>
        <w:spacing w:after="120"/>
        <w:jc w:val="both"/>
        <w:rPr>
          <w:rFonts w:cs="Arial"/>
          <w:highlight w:val="yellow"/>
        </w:rPr>
      </w:pPr>
      <w:r w:rsidRPr="00C819C0">
        <w:rPr>
          <w:rFonts w:cs="Arial"/>
          <w:highlight w:val="yellow"/>
        </w:rPr>
        <w:t xml:space="preserve">Les secondaires sont constitués  par les individus et groupes qui exercent une influence à un titre ou à un autre sur ceux qui doivent changer de comportement. Ce sont : les pères, les beaux-parents, la famille élargie, les leaders d’opinions, les leaders religieux et coutumiers. </w:t>
      </w:r>
    </w:p>
    <w:p w:rsidR="004B4604" w:rsidRPr="00C819C0" w:rsidRDefault="004B4604" w:rsidP="004B4604">
      <w:pPr>
        <w:autoSpaceDE w:val="0"/>
        <w:autoSpaceDN w:val="0"/>
        <w:adjustRightInd w:val="0"/>
        <w:spacing w:after="120"/>
        <w:jc w:val="both"/>
        <w:rPr>
          <w:rFonts w:cs="Arial"/>
          <w:highlight w:val="yellow"/>
        </w:rPr>
      </w:pPr>
      <w:r w:rsidRPr="00C819C0">
        <w:rPr>
          <w:rFonts w:cs="Arial"/>
          <w:highlight w:val="yellow"/>
        </w:rPr>
        <w:t>Le père: chef de famille, il est le décideur en matière de santé, surtout lorsqu’il est question de rechercher des soins à l’extérieur. Les religieux: l’islam est la religion la plus importante en Guinée.  Elle représente plus de 90% de la population du pays, ce qui prouve que les religieux ont une place de choix dans notre société. L’agent communautaire : Il est le relayeur d’informations émanant du Centre de Santé. L’agent communautaire (ou relais communautaire) est une personne de la communauté, un trait d’union entre l’agent de santé et les populations.</w:t>
      </w:r>
    </w:p>
    <w:p w:rsidR="004B4604" w:rsidRPr="00621BF1" w:rsidRDefault="004B4604" w:rsidP="004B4604">
      <w:pPr>
        <w:autoSpaceDE w:val="0"/>
        <w:autoSpaceDN w:val="0"/>
        <w:adjustRightInd w:val="0"/>
        <w:spacing w:after="120"/>
        <w:jc w:val="both"/>
        <w:rPr>
          <w:rFonts w:cs="Arial"/>
        </w:rPr>
      </w:pPr>
      <w:r w:rsidRPr="00C819C0">
        <w:rPr>
          <w:rFonts w:cs="Arial"/>
          <w:highlight w:val="yellow"/>
        </w:rPr>
        <w:t>Les tertiaires sont ceux à qui est dévolue la tâche de faciliter le changement de comportement les décideurs politico-administratifs, les agents de santé, les professionnels des médias, les enseignants et les personnalités de renommées.</w:t>
      </w:r>
    </w:p>
    <w:p w:rsidR="004B4604" w:rsidRPr="00621BF1" w:rsidRDefault="004B4604" w:rsidP="004B4604">
      <w:pPr>
        <w:autoSpaceDE w:val="0"/>
        <w:autoSpaceDN w:val="0"/>
        <w:adjustRightInd w:val="0"/>
        <w:spacing w:after="120"/>
        <w:jc w:val="both"/>
        <w:rPr>
          <w:rFonts w:cs="Arial"/>
        </w:rPr>
      </w:pPr>
      <w:r w:rsidRPr="00C819C0">
        <w:rPr>
          <w:rFonts w:cs="Arial"/>
          <w:highlight w:val="yellow"/>
        </w:rPr>
        <w:t>Au cours de cette année 2016 un plan intégré de communication a été élaboré prenant en compte la vaccination de routine, la surveillance des maladies cibles, les campagnes de vaccination de masse et l’introduction des nouveaux vaccins.</w:t>
      </w:r>
      <w:r w:rsidRPr="00621BF1">
        <w:rPr>
          <w:rFonts w:cs="Arial"/>
        </w:rPr>
        <w:t xml:space="preserve"> </w:t>
      </w:r>
    </w:p>
    <w:p w:rsidR="004B4604" w:rsidRPr="00621BF1" w:rsidRDefault="004B4604" w:rsidP="004B4604">
      <w:pPr>
        <w:autoSpaceDE w:val="0"/>
        <w:autoSpaceDN w:val="0"/>
        <w:adjustRightInd w:val="0"/>
        <w:spacing w:after="120"/>
        <w:jc w:val="both"/>
        <w:rPr>
          <w:rFonts w:cs="Arial"/>
        </w:rPr>
      </w:pPr>
      <w:r w:rsidRPr="00C819C0">
        <w:rPr>
          <w:rFonts w:cs="Arial"/>
          <w:highlight w:val="yellow"/>
        </w:rPr>
        <w:t>La mise en œuvre de ce plan validé permettra d’améliorer l’adoption de comportements en faveur de la vaccination.</w:t>
      </w:r>
    </w:p>
    <w:p w:rsidR="004B4604" w:rsidRPr="00621BF1" w:rsidRDefault="004B4604" w:rsidP="004B4604">
      <w:pPr>
        <w:autoSpaceDE w:val="0"/>
        <w:autoSpaceDN w:val="0"/>
        <w:adjustRightInd w:val="0"/>
        <w:spacing w:after="120"/>
        <w:jc w:val="both"/>
        <w:rPr>
          <w:rFonts w:cs="Arial"/>
        </w:rPr>
      </w:pPr>
      <w:r w:rsidRPr="00621BF1">
        <w:rPr>
          <w:rFonts w:cs="Arial"/>
        </w:rPr>
        <w:t xml:space="preserve">Il existe une unité de communication/mobilisation sociale au niveau de la Coordination Nationale du Programme Elargi de Vaccination (PEV). Cette unité a pour mission de mettre en œuvre, suivre et évaluer les plans de </w:t>
      </w:r>
      <w:r w:rsidRPr="00621BF1">
        <w:rPr>
          <w:rFonts w:cs="Arial"/>
        </w:rPr>
        <w:lastRenderedPageBreak/>
        <w:t xml:space="preserve">communication pour le PEV au niveau central et déconcentré. Elle appuie la mise en œuvre des activités de communication à tous les niveaux. </w:t>
      </w:r>
    </w:p>
    <w:p w:rsidR="004B4604" w:rsidRPr="00621BF1" w:rsidRDefault="004B4604" w:rsidP="004B4604">
      <w:pPr>
        <w:pStyle w:val="Default"/>
        <w:spacing w:after="120"/>
        <w:jc w:val="both"/>
        <w:rPr>
          <w:rFonts w:ascii="Gill Sans MT" w:eastAsia="Times New Roman" w:hAnsi="Gill Sans MT"/>
          <w:color w:val="auto"/>
          <w:sz w:val="22"/>
          <w:szCs w:val="22"/>
        </w:rPr>
      </w:pPr>
      <w:r w:rsidRPr="00621BF1">
        <w:rPr>
          <w:rFonts w:ascii="Gill Sans MT" w:eastAsia="Times New Roman" w:hAnsi="Gill Sans MT"/>
          <w:color w:val="auto"/>
          <w:sz w:val="22"/>
          <w:szCs w:val="22"/>
        </w:rPr>
        <w:t>L’unité Communication/mobilisation sociale développe les activités de communication en appui avec le Service National de promotion de la Santé. Ce service technique a le rôle de :</w:t>
      </w:r>
    </w:p>
    <w:p w:rsidR="00485B39" w:rsidRDefault="004B4604" w:rsidP="00A718E5">
      <w:pPr>
        <w:pStyle w:val="Default"/>
        <w:numPr>
          <w:ilvl w:val="0"/>
          <w:numId w:val="16"/>
        </w:numPr>
        <w:spacing w:before="0" w:after="120"/>
        <w:jc w:val="both"/>
        <w:rPr>
          <w:rFonts w:ascii="Gill Sans MT" w:eastAsia="Times New Roman" w:hAnsi="Gill Sans MT"/>
          <w:color w:val="auto"/>
          <w:sz w:val="22"/>
          <w:szCs w:val="22"/>
        </w:rPr>
      </w:pPr>
      <w:r w:rsidRPr="00485B39">
        <w:rPr>
          <w:rFonts w:ascii="Gill Sans MT" w:eastAsia="Times New Roman" w:hAnsi="Gill Sans MT"/>
          <w:color w:val="auto"/>
          <w:sz w:val="22"/>
          <w:szCs w:val="22"/>
        </w:rPr>
        <w:t>Concevoir et coordonner toutes les activités de communication relatives au PEV de routine et des AVS ;</w:t>
      </w:r>
    </w:p>
    <w:p w:rsidR="00485B39" w:rsidRPr="00485B39" w:rsidRDefault="004B4604" w:rsidP="00A718E5">
      <w:pPr>
        <w:pStyle w:val="Default"/>
        <w:numPr>
          <w:ilvl w:val="0"/>
          <w:numId w:val="16"/>
        </w:numPr>
        <w:spacing w:before="0" w:after="120"/>
        <w:jc w:val="both"/>
        <w:rPr>
          <w:rFonts w:ascii="Gill Sans MT" w:eastAsia="Times New Roman" w:hAnsi="Gill Sans MT"/>
          <w:color w:val="auto"/>
          <w:sz w:val="22"/>
          <w:szCs w:val="22"/>
        </w:rPr>
      </w:pPr>
      <w:r w:rsidRPr="00485B39">
        <w:rPr>
          <w:rFonts w:ascii="Gill Sans MT" w:eastAsia="Times New Roman" w:hAnsi="Gill Sans MT"/>
          <w:color w:val="auto"/>
          <w:sz w:val="22"/>
          <w:szCs w:val="22"/>
        </w:rPr>
        <w:t xml:space="preserve">Elaborer et mettre en œuvre les éléments de politique et de programmes d’action relatifs à la promotion de la santé ; </w:t>
      </w:r>
    </w:p>
    <w:p w:rsidR="00485B39" w:rsidRPr="00485B39" w:rsidRDefault="004B4604" w:rsidP="00A718E5">
      <w:pPr>
        <w:pStyle w:val="Default"/>
        <w:numPr>
          <w:ilvl w:val="0"/>
          <w:numId w:val="16"/>
        </w:numPr>
        <w:spacing w:before="0" w:after="120"/>
        <w:jc w:val="both"/>
        <w:rPr>
          <w:rFonts w:ascii="Gill Sans MT" w:eastAsia="Times New Roman" w:hAnsi="Gill Sans MT"/>
          <w:color w:val="auto"/>
          <w:sz w:val="22"/>
          <w:szCs w:val="22"/>
        </w:rPr>
      </w:pPr>
      <w:r w:rsidRPr="00485B39">
        <w:rPr>
          <w:rFonts w:ascii="Gill Sans MT" w:eastAsia="Times New Roman" w:hAnsi="Gill Sans MT"/>
          <w:color w:val="auto"/>
          <w:sz w:val="22"/>
          <w:szCs w:val="22"/>
        </w:rPr>
        <w:t xml:space="preserve">Développer les activités IEC en collaboration avec les autres intervenants ; </w:t>
      </w:r>
    </w:p>
    <w:p w:rsidR="004B4604" w:rsidRPr="00485B39" w:rsidRDefault="004B4604" w:rsidP="00A718E5">
      <w:pPr>
        <w:pStyle w:val="Default"/>
        <w:numPr>
          <w:ilvl w:val="0"/>
          <w:numId w:val="16"/>
        </w:numPr>
        <w:spacing w:before="0" w:after="120"/>
        <w:jc w:val="both"/>
        <w:rPr>
          <w:rFonts w:ascii="Gill Sans MT" w:eastAsia="Times New Roman" w:hAnsi="Gill Sans MT"/>
          <w:color w:val="auto"/>
          <w:sz w:val="22"/>
          <w:szCs w:val="22"/>
        </w:rPr>
      </w:pPr>
      <w:r w:rsidRPr="00485B39">
        <w:rPr>
          <w:rFonts w:ascii="Gill Sans MT" w:eastAsia="Times New Roman" w:hAnsi="Gill Sans MT"/>
          <w:color w:val="auto"/>
          <w:sz w:val="22"/>
          <w:szCs w:val="22"/>
        </w:rPr>
        <w:t xml:space="preserve">Jouer un rôle d’orientation, de coordination, d’harmonisation et de développement des messages, de contrôle de qualité des messages, des supports, des productions médiatiques, de suivi et d’évaluation. </w:t>
      </w:r>
    </w:p>
    <w:p w:rsidR="004B4604" w:rsidRPr="00621BF1" w:rsidRDefault="004B4604" w:rsidP="004B4604">
      <w:pPr>
        <w:autoSpaceDE w:val="0"/>
        <w:autoSpaceDN w:val="0"/>
        <w:adjustRightInd w:val="0"/>
        <w:spacing w:after="120"/>
        <w:jc w:val="both"/>
        <w:rPr>
          <w:rFonts w:cs="Arial"/>
        </w:rPr>
      </w:pPr>
      <w:r w:rsidRPr="00621BF1">
        <w:rPr>
          <w:rFonts w:cs="Arial"/>
        </w:rPr>
        <w:t>Il existe depuis 1988, une cellule d’appui à la participation communautaire qui s’occupe aussi de l’aspect mobilisation sociale, dirigée par un cadre du Ministère de l’Administration du territoire et de la décentralisation.</w:t>
      </w:r>
    </w:p>
    <w:p w:rsidR="004B4604" w:rsidRPr="00621BF1" w:rsidRDefault="004B4604" w:rsidP="004B4604">
      <w:pPr>
        <w:spacing w:after="120"/>
        <w:jc w:val="both"/>
        <w:rPr>
          <w:rFonts w:cs="Arial"/>
        </w:rPr>
      </w:pPr>
      <w:r w:rsidRPr="00621BF1">
        <w:rPr>
          <w:rFonts w:cs="Arial"/>
        </w:rPr>
        <w:t xml:space="preserve">L’épidémie de la MVE a  mis la Guinée face à des défis dans le domaine sanitaire, mais aussi dans celui de la communication et de l’engagement communautaire. Des défis auxquels le pays n’était pas du tout préparé. L’expérience de 17 mois de lutte contre l’épidémie a révélé tous les déficits dont souffraient nos différentes structures. </w:t>
      </w:r>
    </w:p>
    <w:p w:rsidR="004B4604" w:rsidRPr="00621BF1" w:rsidRDefault="004B4604" w:rsidP="004B4604">
      <w:pPr>
        <w:spacing w:after="120"/>
        <w:jc w:val="both"/>
        <w:rPr>
          <w:rFonts w:cs="Arial"/>
        </w:rPr>
      </w:pPr>
      <w:r w:rsidRPr="00621BF1">
        <w:rPr>
          <w:rFonts w:cs="Arial"/>
        </w:rPr>
        <w:t xml:space="preserve">L’UNICEF a  dans toutes les phases de l’évolution de la riposte par rapport à l’épidémie apporte un appui à la coordination dans le domaine de la communication et de l’engagement communautaire à travers le déploiement de Mobilisateurs sociaux internationaux et nationaux dans tous les foyers actifs , soutenu l’engagement communautaire à travers les plateformes communautaires au niveau des préfectures et des sous- préfectures  et des Unités opérationnelles (130 au niveau des communes de Conakry)  et  les  2549 membres de Comités de Veille Villageois.  Cet appui a concerné aussi le renforcement   des radios communautaires et le soutien en communication de toutes les campagnes de micro-cerclage. Il faut souligner la contribution importante des agences des nations unies (OMS, UNFPA, OIM), des ONG Nationales et Internationales (CDC, FICR, MSF,  </w:t>
      </w:r>
      <w:proofErr w:type="spellStart"/>
      <w:r w:rsidRPr="00621BF1">
        <w:rPr>
          <w:rFonts w:cs="Arial"/>
        </w:rPr>
        <w:t>Internews</w:t>
      </w:r>
      <w:proofErr w:type="spellEnd"/>
      <w:r w:rsidRPr="00621BF1">
        <w:rPr>
          <w:rFonts w:cs="Arial"/>
        </w:rPr>
        <w:t xml:space="preserve">, Media Impact, Relief international, Save the </w:t>
      </w:r>
      <w:proofErr w:type="spellStart"/>
      <w:r w:rsidRPr="00621BF1">
        <w:rPr>
          <w:rFonts w:cs="Arial"/>
        </w:rPr>
        <w:t>children</w:t>
      </w:r>
      <w:proofErr w:type="spellEnd"/>
      <w:r w:rsidRPr="00621BF1">
        <w:rPr>
          <w:rFonts w:cs="Arial"/>
        </w:rPr>
        <w:t xml:space="preserve">, Fondation Hirondelle etc.) et des structures nationales de diffusion  comme la RTG, synergie des radios, les radios rurales, les radios mobiles, URTELGUI.  Toutes les interventions de communication ont pu se faire avec des fortunes/fonds divers avec l’appui financier des partenaires comme la Banque Mondiale, ECHO,  la BID, l’USAID/OFDA, les fonds Japonais, </w:t>
      </w:r>
      <w:proofErr w:type="spellStart"/>
      <w:r w:rsidRPr="00621BF1">
        <w:rPr>
          <w:rFonts w:cs="Arial"/>
        </w:rPr>
        <w:t>Big</w:t>
      </w:r>
      <w:proofErr w:type="spellEnd"/>
      <w:r w:rsidRPr="00621BF1">
        <w:rPr>
          <w:rFonts w:cs="Arial"/>
        </w:rPr>
        <w:t xml:space="preserve">  </w:t>
      </w:r>
      <w:proofErr w:type="spellStart"/>
      <w:r w:rsidRPr="00621BF1">
        <w:rPr>
          <w:rFonts w:cs="Arial"/>
        </w:rPr>
        <w:t>Lotery</w:t>
      </w:r>
      <w:proofErr w:type="spellEnd"/>
      <w:r w:rsidRPr="00621BF1">
        <w:rPr>
          <w:rFonts w:cs="Arial"/>
        </w:rPr>
        <w:t xml:space="preserve"> </w:t>
      </w:r>
      <w:proofErr w:type="spellStart"/>
      <w:r w:rsidRPr="00621BF1">
        <w:rPr>
          <w:rFonts w:cs="Arial"/>
        </w:rPr>
        <w:t>Fund</w:t>
      </w:r>
      <w:proofErr w:type="spellEnd"/>
      <w:r w:rsidRPr="00621BF1">
        <w:rPr>
          <w:rFonts w:cs="Arial"/>
        </w:rPr>
        <w:t xml:space="preserve">,  SIDA,  GFFO - KFW,  Ministère Néerlandais des Affaires </w:t>
      </w:r>
      <w:r w:rsidR="00F17C93" w:rsidRPr="00621BF1">
        <w:rPr>
          <w:rFonts w:cs="Arial"/>
        </w:rPr>
        <w:t>Etrangères,</w:t>
      </w:r>
      <w:r w:rsidRPr="00621BF1">
        <w:rPr>
          <w:rFonts w:cs="Arial"/>
        </w:rPr>
        <w:t xml:space="preserve"> </w:t>
      </w:r>
      <w:proofErr w:type="spellStart"/>
      <w:r w:rsidRPr="00621BF1">
        <w:rPr>
          <w:rFonts w:cs="Arial"/>
        </w:rPr>
        <w:t>IrishAid</w:t>
      </w:r>
      <w:proofErr w:type="spellEnd"/>
      <w:r w:rsidRPr="00621BF1">
        <w:rPr>
          <w:rFonts w:cs="Arial"/>
        </w:rPr>
        <w:t>, SIDA GFFO, KFW, etc</w:t>
      </w:r>
      <w:r w:rsidR="00F17C93" w:rsidRPr="00621BF1">
        <w:rPr>
          <w:rFonts w:cs="Arial"/>
        </w:rPr>
        <w:t>.</w:t>
      </w:r>
      <w:r w:rsidRPr="00621BF1">
        <w:rPr>
          <w:rFonts w:cs="Arial"/>
        </w:rPr>
        <w:t xml:space="preserve">    </w:t>
      </w:r>
    </w:p>
    <w:p w:rsidR="004B4604" w:rsidRPr="00621BF1" w:rsidRDefault="004B4604" w:rsidP="004B4604">
      <w:pPr>
        <w:autoSpaceDE w:val="0"/>
        <w:autoSpaceDN w:val="0"/>
        <w:adjustRightInd w:val="0"/>
        <w:spacing w:after="120"/>
        <w:jc w:val="both"/>
        <w:rPr>
          <w:rFonts w:cs="Arial"/>
        </w:rPr>
      </w:pPr>
      <w:r w:rsidRPr="00621BF1">
        <w:rPr>
          <w:rFonts w:cs="Arial"/>
        </w:rPr>
        <w:t xml:space="preserve">Le 03 septembre 2015, le Mali a détecté un cas de polio virus dérivé. L’enfant est originaire du district de Siguiri dans la région de Kankan. A la suite de cette information, l’épidémie de virus Polio a été déclaré en Guinée et un plan de riposte a été élaboré et mis en œuvre. Depuis cette date, Sept (7) tours d'activité de vaccination supplémentaires (4 Journées Nationales de Vaccination et 3 Journées Locales de Vaccination) ont été organisés.  </w:t>
      </w:r>
    </w:p>
    <w:p w:rsidR="004B4604" w:rsidRPr="00621BF1" w:rsidRDefault="004B4604" w:rsidP="004B4604">
      <w:pPr>
        <w:autoSpaceDE w:val="0"/>
        <w:autoSpaceDN w:val="0"/>
        <w:adjustRightInd w:val="0"/>
        <w:spacing w:after="120"/>
        <w:jc w:val="both"/>
        <w:rPr>
          <w:rFonts w:cs="Arial"/>
        </w:rPr>
      </w:pPr>
      <w:r w:rsidRPr="00621BF1">
        <w:rPr>
          <w:rFonts w:cs="Arial"/>
        </w:rPr>
        <w:t>A la suite de ses AVS,  plusieurs évaluations ont été menées (monitorage indépendant et LQAS) et ont montré les résultats suivants.</w:t>
      </w:r>
    </w:p>
    <w:p w:rsidR="004B4604" w:rsidRPr="00621BF1" w:rsidRDefault="004B4604" w:rsidP="004B4604">
      <w:pPr>
        <w:autoSpaceDE w:val="0"/>
        <w:autoSpaceDN w:val="0"/>
        <w:adjustRightInd w:val="0"/>
        <w:spacing w:after="120"/>
        <w:jc w:val="both"/>
        <w:rPr>
          <w:rFonts w:cs="Arial"/>
        </w:rPr>
      </w:pPr>
      <w:r w:rsidRPr="00621BF1">
        <w:rPr>
          <w:rFonts w:cs="Arial"/>
        </w:rPr>
        <w:t xml:space="preserve">La première évaluation indépendante des campagnes, a mis en évidence des insuffisances à plusieurs niveaux y compris sur la qualité de la mise en œuvre des activités de communication. Le faible niveau d’information des parents avant le passage des  vaccinateurs à Conakry (79%) sur le 4ème  passage, en serait une illustration. </w:t>
      </w:r>
    </w:p>
    <w:p w:rsidR="004B4604" w:rsidRPr="00621BF1" w:rsidRDefault="004B4604" w:rsidP="004B4604">
      <w:pPr>
        <w:autoSpaceDE w:val="0"/>
        <w:autoSpaceDN w:val="0"/>
        <w:adjustRightInd w:val="0"/>
        <w:spacing w:after="120"/>
        <w:jc w:val="both"/>
        <w:rPr>
          <w:rFonts w:cs="Arial"/>
        </w:rPr>
      </w:pPr>
      <w:r w:rsidRPr="00621BF1">
        <w:rPr>
          <w:rFonts w:cs="Arial"/>
        </w:rPr>
        <w:lastRenderedPageBreak/>
        <w:t>Le résultat du LQAS sur le 5ème passage montre que  28 districts sanitaires sur 38 ont un niveau d’information des parents inférieur à 90%.</w:t>
      </w:r>
    </w:p>
    <w:p w:rsidR="004B4604" w:rsidRPr="00621BF1" w:rsidRDefault="004B4604" w:rsidP="004B4604">
      <w:pPr>
        <w:autoSpaceDE w:val="0"/>
        <w:autoSpaceDN w:val="0"/>
        <w:adjustRightInd w:val="0"/>
        <w:spacing w:after="120"/>
        <w:jc w:val="both"/>
        <w:rPr>
          <w:rFonts w:cs="Arial"/>
        </w:rPr>
      </w:pPr>
      <w:r w:rsidRPr="00621BF1">
        <w:rPr>
          <w:rFonts w:cs="Arial"/>
        </w:rPr>
        <w:t xml:space="preserve"> A Conakry,  seules 2 communes sur 5 ont eu un score d’information des parents satisfaisants. Sur  les deux plus importantes communes qui sont Ratoma et Matoto les résultats sont de  50% et de 82% respectivement. </w:t>
      </w:r>
    </w:p>
    <w:p w:rsidR="004B4604" w:rsidRPr="00621BF1" w:rsidRDefault="004B4604" w:rsidP="004B4604">
      <w:pPr>
        <w:autoSpaceDE w:val="0"/>
        <w:autoSpaceDN w:val="0"/>
        <w:adjustRightInd w:val="0"/>
        <w:spacing w:after="120"/>
        <w:jc w:val="both"/>
        <w:rPr>
          <w:rFonts w:cs="Arial"/>
        </w:rPr>
      </w:pPr>
      <w:r w:rsidRPr="00621BF1">
        <w:rPr>
          <w:rFonts w:cs="Arial"/>
        </w:rPr>
        <w:t xml:space="preserve">Parmi les causes de non vaccination, le LQAS a également mis en évidence que 37% des raisons  de non vaccination sont liées à l’absence des enfants. </w:t>
      </w:r>
    </w:p>
    <w:p w:rsidR="004B4604" w:rsidRPr="00621BF1" w:rsidRDefault="004B4604" w:rsidP="004B4604">
      <w:pPr>
        <w:autoSpaceDE w:val="0"/>
        <w:autoSpaceDN w:val="0"/>
        <w:adjustRightInd w:val="0"/>
        <w:spacing w:after="120"/>
        <w:jc w:val="both"/>
        <w:rPr>
          <w:rFonts w:cs="Arial"/>
        </w:rPr>
      </w:pPr>
      <w:r w:rsidRPr="00621BF1">
        <w:rPr>
          <w:rFonts w:cs="Arial"/>
        </w:rPr>
        <w:t>Toutes ces données montrent  qu’en dépit des importantes ressources déployées pour la mobilisation sociale, le niveau d’information des parents reste faible et que les activités de communication ont encore  un faible impact sur les changements de comportement en faveur   de la vaccination.</w:t>
      </w:r>
    </w:p>
    <w:p w:rsidR="004B4604" w:rsidRPr="00621BF1" w:rsidRDefault="004B4604" w:rsidP="004B4604">
      <w:pPr>
        <w:autoSpaceDE w:val="0"/>
        <w:autoSpaceDN w:val="0"/>
        <w:adjustRightInd w:val="0"/>
        <w:spacing w:after="120"/>
        <w:jc w:val="both"/>
        <w:rPr>
          <w:rFonts w:cs="Arial"/>
        </w:rPr>
      </w:pPr>
      <w:r w:rsidRPr="00621BF1">
        <w:rPr>
          <w:rFonts w:cs="Arial"/>
        </w:rPr>
        <w:t>Le faible niveau d’exécution des  micro-plans de communication et des stratégies de vaccination constatés au fil des différentes campagnes organisées, justifient que les acteurs soient soutenus et accompagnés durant  les différentes étapes de  mise en œuvre  des activités de communication.</w:t>
      </w:r>
    </w:p>
    <w:p w:rsidR="004B4604" w:rsidRPr="00621BF1" w:rsidRDefault="004B4604" w:rsidP="004B4604">
      <w:pPr>
        <w:autoSpaceDE w:val="0"/>
        <w:autoSpaceDN w:val="0"/>
        <w:adjustRightInd w:val="0"/>
        <w:spacing w:after="120"/>
        <w:jc w:val="both"/>
        <w:rPr>
          <w:rFonts w:cs="Arial"/>
        </w:rPr>
      </w:pPr>
      <w:r w:rsidRPr="00621BF1">
        <w:rPr>
          <w:rFonts w:cs="Arial"/>
        </w:rPr>
        <w:t xml:space="preserve">La faible qualité des données de la communication qui sont </w:t>
      </w:r>
      <w:proofErr w:type="spellStart"/>
      <w:r w:rsidRPr="00621BF1">
        <w:rPr>
          <w:rFonts w:cs="Arial"/>
        </w:rPr>
        <w:t>re</w:t>
      </w:r>
      <w:proofErr w:type="spellEnd"/>
      <w:r w:rsidRPr="00621BF1">
        <w:rPr>
          <w:rFonts w:cs="Arial"/>
        </w:rPr>
        <w:t xml:space="preserve">/montées durant les campagnes  reflète aussi  de l’insuffisance des outils de collecte disponibles au niveau des structures sanitaires.  </w:t>
      </w:r>
    </w:p>
    <w:p w:rsidR="004B4604" w:rsidRPr="00621BF1" w:rsidRDefault="004B4604" w:rsidP="004B4604">
      <w:pPr>
        <w:autoSpaceDE w:val="0"/>
        <w:autoSpaceDN w:val="0"/>
        <w:adjustRightInd w:val="0"/>
        <w:spacing w:after="120"/>
        <w:jc w:val="both"/>
        <w:rPr>
          <w:rFonts w:cs="Arial"/>
        </w:rPr>
      </w:pPr>
      <w:r w:rsidRPr="00621BF1">
        <w:rPr>
          <w:rFonts w:cs="Arial"/>
        </w:rPr>
        <w:t>Le PEV en général bénéficie d’une faible visibilité, cependant on note une forte implication des leaders religieux et communautaires, de certaines ONG et associations des jeunes et des femmes surtout lors des campagnes de vaccination de masse. Pour mieux rattraper les enfants et lors des activités de vaccination supplémentaires le PEV utilise des Mobilisateurs Sociaux (MOSO). Toutefois  on note une insuffisance de formation et de suivi/évaluation de ces derniers. Cependant, des efforts pour le renforcement des capacités des MOSO, à travers des messages ciblés et adaptés, et des supports de communication,  doivent être fournis pour accroître la demande en vaccination dans le cadre du PEV de routine.</w:t>
      </w:r>
    </w:p>
    <w:p w:rsidR="004B4604" w:rsidRPr="00621BF1" w:rsidRDefault="004B4604" w:rsidP="00451C16">
      <w:pPr>
        <w:autoSpaceDE w:val="0"/>
        <w:autoSpaceDN w:val="0"/>
        <w:adjustRightInd w:val="0"/>
        <w:spacing w:after="120"/>
        <w:jc w:val="both"/>
      </w:pPr>
      <w:r w:rsidRPr="00621BF1">
        <w:rPr>
          <w:rFonts w:cs="Arial"/>
        </w:rPr>
        <w:t xml:space="preserve">Cependant l’unité de communication souffre d’une insuffisance en ressources humaines formées dans le domaine de la communication pour la santé (communication pour la vaccination), la faible communication en faveur du PEV dans les médias est des défis à relever pour des meilleures performances du PEV ainsi que l’insuffisance de Formation, suivi, et évaluation des MOSO. </w:t>
      </w:r>
    </w:p>
    <w:p w:rsidR="00431B9D" w:rsidRPr="00621BF1" w:rsidRDefault="00431B9D" w:rsidP="004B4604">
      <w:pPr>
        <w:sectPr w:rsidR="00431B9D" w:rsidRPr="00621BF1" w:rsidSect="002A5AFB">
          <w:footerReference w:type="default" r:id="rId31"/>
          <w:type w:val="continuous"/>
          <w:pgSz w:w="12240" w:h="15840"/>
          <w:pgMar w:top="1440" w:right="1080" w:bottom="1440" w:left="1080" w:header="720" w:footer="720" w:gutter="0"/>
          <w:cols w:space="720"/>
          <w:docGrid w:linePitch="360"/>
        </w:sectPr>
      </w:pPr>
    </w:p>
    <w:p w:rsidR="00431B9D" w:rsidRPr="00621BF1" w:rsidRDefault="00431B9D" w:rsidP="001E0F1D">
      <w:pPr>
        <w:pStyle w:val="Titre2"/>
      </w:pPr>
      <w:bookmarkStart w:id="138" w:name="_Toc452745783"/>
      <w:bookmarkStart w:id="139" w:name="_Toc452746515"/>
      <w:bookmarkStart w:id="140" w:name="_Toc452747534"/>
      <w:bookmarkStart w:id="141" w:name="_Toc458593658"/>
      <w:r w:rsidRPr="00621BF1">
        <w:lastRenderedPageBreak/>
        <w:t>SYNTHESE DES FORCES ET FAIBLESSES</w:t>
      </w:r>
      <w:bookmarkEnd w:id="138"/>
      <w:bookmarkEnd w:id="139"/>
      <w:bookmarkEnd w:id="140"/>
      <w:bookmarkEnd w:id="141"/>
      <w:r w:rsidRPr="00621BF1">
        <w:t xml:space="preserve"> </w:t>
      </w:r>
    </w:p>
    <w:p w:rsidR="00431B9D" w:rsidRPr="00621BF1" w:rsidRDefault="00431B9D" w:rsidP="00431B9D">
      <w:pPr>
        <w:pStyle w:val="Lgende"/>
      </w:pPr>
      <w:bookmarkStart w:id="142" w:name="_Toc456109488"/>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22</w:t>
      </w:r>
      <w:r w:rsidR="00B51B2E" w:rsidRPr="00621BF1">
        <w:fldChar w:fldCharType="end"/>
      </w:r>
      <w:r w:rsidRPr="00621BF1">
        <w:t>: Synthèse de l’analyse des forces et faibles par composantes du PEV</w:t>
      </w:r>
      <w:bookmarkEnd w:id="142"/>
    </w:p>
    <w:tbl>
      <w:tblPr>
        <w:tblStyle w:val="Grilledutableau"/>
        <w:tblW w:w="5000" w:type="pct"/>
        <w:tblLayout w:type="fixed"/>
        <w:tblLook w:val="04A0" w:firstRow="1" w:lastRow="0" w:firstColumn="1" w:lastColumn="0" w:noHBand="0" w:noVBand="1"/>
      </w:tblPr>
      <w:tblGrid>
        <w:gridCol w:w="2556"/>
        <w:gridCol w:w="5581"/>
        <w:gridCol w:w="5759"/>
      </w:tblGrid>
      <w:tr w:rsidR="00431B9D" w:rsidRPr="00621BF1" w:rsidTr="004B1E69">
        <w:trPr>
          <w:trHeight w:val="777"/>
          <w:tblHeader/>
        </w:trPr>
        <w:tc>
          <w:tcPr>
            <w:tcW w:w="920" w:type="pct"/>
            <w:shd w:val="clear" w:color="auto" w:fill="C45911" w:themeFill="accent2" w:themeFillShade="BF"/>
          </w:tcPr>
          <w:p w:rsidR="00431B9D" w:rsidRPr="00621BF1" w:rsidRDefault="00431B9D" w:rsidP="00ED0C53">
            <w:pPr>
              <w:pStyle w:val="Corpsdetexte"/>
              <w:jc w:val="center"/>
              <w:rPr>
                <w:rFonts w:ascii="Gill Sans MT" w:hAnsi="Gill Sans MT"/>
                <w:b/>
                <w:color w:val="FFFFFF" w:themeColor="background1"/>
              </w:rPr>
            </w:pPr>
            <w:r w:rsidRPr="00621BF1">
              <w:rPr>
                <w:rFonts w:ascii="Gill Sans MT" w:hAnsi="Gill Sans MT"/>
                <w:b/>
                <w:color w:val="FFFFFF" w:themeColor="background1"/>
              </w:rPr>
              <w:t>COMPOSANTE</w:t>
            </w:r>
          </w:p>
        </w:tc>
        <w:tc>
          <w:tcPr>
            <w:tcW w:w="2008" w:type="pct"/>
            <w:shd w:val="clear" w:color="auto" w:fill="C45911" w:themeFill="accent2" w:themeFillShade="BF"/>
          </w:tcPr>
          <w:p w:rsidR="00431B9D" w:rsidRPr="00621BF1" w:rsidRDefault="00431B9D" w:rsidP="00ED0C53">
            <w:pPr>
              <w:pStyle w:val="Corpsdetexte"/>
              <w:jc w:val="center"/>
              <w:rPr>
                <w:rFonts w:ascii="Gill Sans MT" w:hAnsi="Gill Sans MT"/>
                <w:b/>
                <w:color w:val="FFFFFF" w:themeColor="background1"/>
                <w:sz w:val="28"/>
                <w:szCs w:val="22"/>
              </w:rPr>
            </w:pPr>
            <w:r w:rsidRPr="00621BF1">
              <w:rPr>
                <w:rFonts w:ascii="Gill Sans MT" w:hAnsi="Gill Sans MT"/>
                <w:b/>
                <w:color w:val="FFFFFF" w:themeColor="background1"/>
                <w:sz w:val="28"/>
                <w:szCs w:val="22"/>
              </w:rPr>
              <w:t>FORCES</w:t>
            </w:r>
          </w:p>
        </w:tc>
        <w:tc>
          <w:tcPr>
            <w:tcW w:w="2072" w:type="pct"/>
            <w:shd w:val="clear" w:color="auto" w:fill="C45911" w:themeFill="accent2" w:themeFillShade="BF"/>
          </w:tcPr>
          <w:p w:rsidR="00431B9D" w:rsidRPr="00621BF1" w:rsidRDefault="00431B9D" w:rsidP="00ED0C53">
            <w:pPr>
              <w:pStyle w:val="Corpsdetexte"/>
              <w:jc w:val="center"/>
              <w:rPr>
                <w:rFonts w:ascii="Gill Sans MT" w:hAnsi="Gill Sans MT"/>
                <w:b/>
                <w:color w:val="FFFFFF" w:themeColor="background1"/>
                <w:sz w:val="28"/>
                <w:szCs w:val="22"/>
              </w:rPr>
            </w:pPr>
            <w:r w:rsidRPr="00621BF1">
              <w:rPr>
                <w:rFonts w:ascii="Gill Sans MT" w:hAnsi="Gill Sans MT"/>
                <w:b/>
                <w:color w:val="FFFFFF" w:themeColor="background1"/>
                <w:sz w:val="28"/>
                <w:szCs w:val="22"/>
              </w:rPr>
              <w:t>FAIBLESSES</w:t>
            </w:r>
          </w:p>
        </w:tc>
      </w:tr>
      <w:tr w:rsidR="004B1E69" w:rsidRPr="00621BF1" w:rsidTr="004B1E69">
        <w:tc>
          <w:tcPr>
            <w:tcW w:w="920" w:type="pct"/>
          </w:tcPr>
          <w:p w:rsidR="00431B9D" w:rsidRPr="00621BF1" w:rsidRDefault="00431B9D" w:rsidP="00145E78">
            <w:pPr>
              <w:pStyle w:val="Corpsdetexte"/>
              <w:spacing w:before="0"/>
              <w:rPr>
                <w:rFonts w:ascii="Gill Sans MT" w:hAnsi="Gill Sans MT"/>
                <w:sz w:val="22"/>
                <w:szCs w:val="22"/>
              </w:rPr>
            </w:pPr>
          </w:p>
          <w:p w:rsidR="00431B9D" w:rsidRPr="00621BF1" w:rsidRDefault="00431B9D" w:rsidP="00145E78">
            <w:pPr>
              <w:pStyle w:val="Corpsdetexte"/>
              <w:spacing w:before="0"/>
              <w:rPr>
                <w:rFonts w:ascii="Gill Sans MT" w:hAnsi="Gill Sans MT"/>
                <w:sz w:val="22"/>
                <w:szCs w:val="22"/>
              </w:rPr>
            </w:pPr>
          </w:p>
          <w:p w:rsidR="00431B9D" w:rsidRPr="00621BF1" w:rsidRDefault="00431B9D" w:rsidP="00145E78">
            <w:pPr>
              <w:pStyle w:val="Corpsdetexte"/>
              <w:spacing w:before="0"/>
              <w:rPr>
                <w:rFonts w:ascii="Gill Sans MT" w:hAnsi="Gill Sans MT"/>
                <w:sz w:val="22"/>
                <w:szCs w:val="22"/>
              </w:rPr>
            </w:pPr>
          </w:p>
          <w:p w:rsidR="00431B9D" w:rsidRPr="00621BF1" w:rsidRDefault="00431B9D" w:rsidP="00145E78">
            <w:pPr>
              <w:pStyle w:val="Corpsdetexte"/>
              <w:spacing w:before="0"/>
              <w:rPr>
                <w:rFonts w:ascii="Gill Sans MT" w:hAnsi="Gill Sans MT"/>
                <w:sz w:val="22"/>
                <w:szCs w:val="22"/>
              </w:rPr>
            </w:pPr>
          </w:p>
          <w:p w:rsidR="00431B9D" w:rsidRPr="00621BF1" w:rsidRDefault="00431B9D" w:rsidP="000704E8">
            <w:pPr>
              <w:pStyle w:val="Corpsdetexte"/>
              <w:spacing w:before="0"/>
              <w:jc w:val="center"/>
              <w:rPr>
                <w:rFonts w:ascii="Gill Sans MT" w:hAnsi="Gill Sans MT"/>
                <w:b/>
                <w:sz w:val="22"/>
                <w:szCs w:val="22"/>
              </w:rPr>
            </w:pPr>
            <w:r w:rsidRPr="00621BF1">
              <w:rPr>
                <w:rFonts w:ascii="Gill Sans MT" w:hAnsi="Gill Sans MT"/>
                <w:b/>
                <w:sz w:val="22"/>
                <w:szCs w:val="22"/>
              </w:rPr>
              <w:t>PRESTATION DE SERVICES</w:t>
            </w:r>
          </w:p>
        </w:tc>
        <w:tc>
          <w:tcPr>
            <w:tcW w:w="2008" w:type="pct"/>
          </w:tcPr>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Organisation des Activités de Vaccination Supplémentaires (AVS) telles que Polio, Rougeole, Méningite ;</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Organisation des activités d’intensification de la vaccination de routine (semaine mère-enfant) ;</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Organisation des campagnes de vaccination transfrontalières ;</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Utilisation des stratégies avancées de vaccination au niveau opérationnel  pour améliorer la couverture ;</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Introduction de nouveaux vaccins (VPI) ;</w:t>
            </w:r>
          </w:p>
          <w:p w:rsidR="00CC43D9"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Réalisation du SWITCH pour le remplacement du </w:t>
            </w:r>
            <w:proofErr w:type="spellStart"/>
            <w:r w:rsidRPr="00621BF1">
              <w:rPr>
                <w:rFonts w:ascii="Gill Sans MT" w:hAnsi="Gill Sans MT"/>
                <w:sz w:val="22"/>
                <w:szCs w:val="22"/>
                <w:lang w:val="fr-FR"/>
              </w:rPr>
              <w:t>tOPV</w:t>
            </w:r>
            <w:proofErr w:type="spellEnd"/>
            <w:r w:rsidRPr="00621BF1">
              <w:rPr>
                <w:rFonts w:ascii="Gill Sans MT" w:hAnsi="Gill Sans MT"/>
                <w:sz w:val="22"/>
                <w:szCs w:val="22"/>
                <w:lang w:val="fr-FR"/>
              </w:rPr>
              <w:t xml:space="preserve"> par </w:t>
            </w:r>
            <w:proofErr w:type="spellStart"/>
            <w:r w:rsidRPr="00621BF1">
              <w:rPr>
                <w:rFonts w:ascii="Gill Sans MT" w:hAnsi="Gill Sans MT"/>
                <w:sz w:val="22"/>
                <w:szCs w:val="22"/>
                <w:lang w:val="fr-FR"/>
              </w:rPr>
              <w:t>bOPV</w:t>
            </w:r>
            <w:proofErr w:type="spellEnd"/>
            <w:r w:rsidRPr="00621BF1">
              <w:rPr>
                <w:rFonts w:ascii="Gill Sans MT" w:hAnsi="Gill Sans MT"/>
                <w:sz w:val="22"/>
                <w:szCs w:val="22"/>
                <w:lang w:val="fr-FR"/>
              </w:rPr>
              <w:t>.</w:t>
            </w:r>
          </w:p>
          <w:p w:rsidR="00CC43D9" w:rsidRPr="0026326A" w:rsidRDefault="00CC43D9" w:rsidP="00CC43D9">
            <w:pPr>
              <w:pStyle w:val="Corpsdetexte"/>
              <w:numPr>
                <w:ilvl w:val="0"/>
                <w:numId w:val="10"/>
              </w:numPr>
              <w:spacing w:before="0"/>
              <w:rPr>
                <w:rFonts w:ascii="Gill Sans MT" w:hAnsi="Gill Sans MT"/>
                <w:sz w:val="22"/>
                <w:szCs w:val="22"/>
                <w:lang w:val="fr-FR"/>
              </w:rPr>
            </w:pPr>
            <w:r w:rsidRPr="0026326A">
              <w:rPr>
                <w:rFonts w:ascii="Gill Sans MT" w:hAnsi="Gill Sans MT"/>
                <w:sz w:val="22"/>
                <w:szCs w:val="22"/>
                <w:lang w:val="fr-FR"/>
              </w:rPr>
              <w:t>Existence de la plateforme DHIS2</w:t>
            </w:r>
          </w:p>
          <w:p w:rsidR="00CC43D9" w:rsidRPr="0026326A" w:rsidRDefault="00CC43D9" w:rsidP="00CC43D9">
            <w:pPr>
              <w:pStyle w:val="Corpsdetexte"/>
              <w:numPr>
                <w:ilvl w:val="0"/>
                <w:numId w:val="10"/>
              </w:numPr>
              <w:spacing w:before="0"/>
              <w:rPr>
                <w:rFonts w:ascii="Gill Sans MT" w:hAnsi="Gill Sans MT"/>
                <w:sz w:val="22"/>
                <w:szCs w:val="22"/>
                <w:lang w:val="fr-FR"/>
              </w:rPr>
            </w:pPr>
            <w:r w:rsidRPr="0026326A">
              <w:rPr>
                <w:rFonts w:ascii="Gill Sans MT" w:hAnsi="Gill Sans MT"/>
                <w:sz w:val="22"/>
                <w:szCs w:val="22"/>
                <w:lang w:val="fr-FR"/>
              </w:rPr>
              <w:t xml:space="preserve">Existence  des relais communautaire </w:t>
            </w:r>
          </w:p>
          <w:p w:rsidR="00CC43D9" w:rsidRPr="0026326A" w:rsidRDefault="00CC43D9" w:rsidP="00CC43D9">
            <w:pPr>
              <w:pStyle w:val="Corpsdetexte"/>
              <w:numPr>
                <w:ilvl w:val="0"/>
                <w:numId w:val="10"/>
              </w:numPr>
              <w:spacing w:before="0"/>
              <w:rPr>
                <w:rFonts w:ascii="Gill Sans MT" w:hAnsi="Gill Sans MT"/>
                <w:sz w:val="22"/>
                <w:szCs w:val="22"/>
                <w:lang w:val="fr-FR"/>
              </w:rPr>
            </w:pPr>
            <w:r w:rsidRPr="0026326A">
              <w:rPr>
                <w:rFonts w:ascii="Gill Sans MT" w:hAnsi="Gill Sans MT"/>
                <w:sz w:val="22"/>
                <w:szCs w:val="22"/>
                <w:lang w:val="fr-FR"/>
              </w:rPr>
              <w:t>Existence des communes de convergence par endroit</w:t>
            </w:r>
          </w:p>
          <w:p w:rsidR="00BA78FB" w:rsidRPr="00621BF1" w:rsidRDefault="00BA78FB" w:rsidP="00CC43D9">
            <w:pPr>
              <w:pStyle w:val="Corpsdetexte"/>
              <w:spacing w:before="0"/>
              <w:ind w:left="360"/>
              <w:rPr>
                <w:rFonts w:ascii="Gill Sans MT" w:hAnsi="Gill Sans MT"/>
                <w:sz w:val="22"/>
                <w:szCs w:val="22"/>
                <w:lang w:val="fr-FR"/>
              </w:rPr>
            </w:pPr>
          </w:p>
        </w:tc>
        <w:tc>
          <w:tcPr>
            <w:tcW w:w="2072" w:type="pct"/>
          </w:tcPr>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couverture géographique des sites fixes de vaccination ;</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couverture vaccinale du PEV de routine après évaluation indépendante;</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Non maitrise de la population cible pour la vaccination (Dénominateur) ;</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Taux d’abandon spécifique et global élevés (supérieurs à 10%) ;</w:t>
            </w:r>
          </w:p>
          <w:p w:rsidR="00CC43D9" w:rsidRPr="00621BF1" w:rsidRDefault="00CC43D9" w:rsidP="00CC43D9">
            <w:pPr>
              <w:pStyle w:val="Corpsdetexte"/>
              <w:numPr>
                <w:ilvl w:val="0"/>
                <w:numId w:val="10"/>
              </w:numPr>
              <w:spacing w:before="0"/>
              <w:rPr>
                <w:rFonts w:ascii="Gill Sans MT" w:hAnsi="Gill Sans MT"/>
                <w:sz w:val="22"/>
                <w:szCs w:val="22"/>
              </w:rPr>
            </w:pPr>
            <w:proofErr w:type="spellStart"/>
            <w:r w:rsidRPr="00621BF1">
              <w:rPr>
                <w:rFonts w:ascii="Gill Sans MT" w:hAnsi="Gill Sans MT"/>
                <w:sz w:val="22"/>
                <w:szCs w:val="22"/>
              </w:rPr>
              <w:t>Faible</w:t>
            </w:r>
            <w:proofErr w:type="spellEnd"/>
            <w:r w:rsidRPr="00621BF1">
              <w:rPr>
                <w:rFonts w:ascii="Gill Sans MT" w:hAnsi="Gill Sans MT"/>
                <w:sz w:val="22"/>
                <w:szCs w:val="22"/>
              </w:rPr>
              <w:t xml:space="preserve"> </w:t>
            </w:r>
            <w:proofErr w:type="spellStart"/>
            <w:r w:rsidRPr="00621BF1">
              <w:rPr>
                <w:rFonts w:ascii="Gill Sans MT" w:hAnsi="Gill Sans MT"/>
                <w:sz w:val="22"/>
                <w:szCs w:val="22"/>
              </w:rPr>
              <w:t>qualité</w:t>
            </w:r>
            <w:proofErr w:type="spellEnd"/>
            <w:r w:rsidRPr="00621BF1">
              <w:rPr>
                <w:rFonts w:ascii="Gill Sans MT" w:hAnsi="Gill Sans MT"/>
                <w:sz w:val="22"/>
                <w:szCs w:val="22"/>
              </w:rPr>
              <w:t xml:space="preserve"> des AVS ;</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Faible implication des structures privées dans la vaccination; </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Insuffisance de ressources humaines compétentes pour les services de vaccination  dans les zones rurales ; </w:t>
            </w:r>
          </w:p>
          <w:p w:rsidR="00CC43D9" w:rsidRPr="00621BF1"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promptitude et complétudes des rapports mensuels de vaccination et de surveillance ;</w:t>
            </w:r>
          </w:p>
          <w:p w:rsidR="00CC43D9" w:rsidRDefault="00CC43D9" w:rsidP="00CC43D9">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qualité des données remontées par le niveau opérationnel.</w:t>
            </w:r>
          </w:p>
          <w:p w:rsidR="00B5182F" w:rsidRPr="00CC43D9" w:rsidRDefault="00CC43D9" w:rsidP="00A718E5">
            <w:pPr>
              <w:pStyle w:val="Corpsdetexte"/>
              <w:numPr>
                <w:ilvl w:val="0"/>
                <w:numId w:val="10"/>
              </w:numPr>
              <w:spacing w:before="0"/>
              <w:rPr>
                <w:rFonts w:ascii="Gill Sans MT" w:hAnsi="Gill Sans MT"/>
                <w:sz w:val="22"/>
                <w:szCs w:val="22"/>
                <w:lang w:val="fr-FR"/>
              </w:rPr>
            </w:pPr>
            <w:r w:rsidRPr="00445F51">
              <w:rPr>
                <w:rFonts w:ascii="Gill Sans MT" w:hAnsi="Gill Sans MT"/>
                <w:sz w:val="22"/>
                <w:szCs w:val="22"/>
                <w:highlight w:val="yellow"/>
                <w:lang w:val="fr-FR"/>
              </w:rPr>
              <w:t xml:space="preserve">Non implication de la communauté pendant la planification </w:t>
            </w:r>
            <w:proofErr w:type="spellStart"/>
            <w:r w:rsidRPr="00445F51">
              <w:rPr>
                <w:rFonts w:ascii="Gill Sans MT" w:hAnsi="Gill Sans MT"/>
                <w:sz w:val="22"/>
                <w:szCs w:val="22"/>
                <w:highlight w:val="yellow"/>
                <w:lang w:val="fr-FR"/>
              </w:rPr>
              <w:t>des</w:t>
            </w:r>
            <w:proofErr w:type="spellEnd"/>
            <w:r w:rsidRPr="00445F51">
              <w:rPr>
                <w:rFonts w:ascii="Gill Sans MT" w:hAnsi="Gill Sans MT"/>
                <w:sz w:val="22"/>
                <w:szCs w:val="22"/>
                <w:highlight w:val="yellow"/>
                <w:lang w:val="fr-FR"/>
              </w:rPr>
              <w:t xml:space="preserve"> SA</w:t>
            </w:r>
            <w:r w:rsidR="00B5182F" w:rsidRPr="00CC43D9">
              <w:rPr>
                <w:rFonts w:ascii="Gill Sans MT" w:hAnsi="Gill Sans MT"/>
                <w:sz w:val="22"/>
                <w:szCs w:val="22"/>
                <w:lang w:val="fr-FR"/>
              </w:rPr>
              <w:t>.</w:t>
            </w:r>
          </w:p>
          <w:p w:rsidR="00922EE7" w:rsidRPr="00621BF1" w:rsidRDefault="00922EE7" w:rsidP="00922EE7">
            <w:pPr>
              <w:pStyle w:val="Corpsdetexte"/>
              <w:spacing w:before="0"/>
              <w:ind w:left="360"/>
              <w:rPr>
                <w:rFonts w:ascii="Gill Sans MT" w:hAnsi="Gill Sans MT"/>
                <w:sz w:val="16"/>
                <w:szCs w:val="22"/>
                <w:lang w:val="fr-FR"/>
              </w:rPr>
            </w:pPr>
          </w:p>
        </w:tc>
      </w:tr>
      <w:tr w:rsidR="004B1E69" w:rsidRPr="00621BF1" w:rsidTr="004B1E69">
        <w:tc>
          <w:tcPr>
            <w:tcW w:w="920" w:type="pct"/>
          </w:tcPr>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8263E1" w:rsidP="00145E78">
            <w:pPr>
              <w:pStyle w:val="Corpsdetexte"/>
              <w:spacing w:before="0"/>
              <w:jc w:val="center"/>
              <w:rPr>
                <w:rFonts w:ascii="Gill Sans MT" w:hAnsi="Gill Sans MT"/>
                <w:b/>
                <w:sz w:val="22"/>
                <w:szCs w:val="22"/>
                <w:lang w:val="fr-FR"/>
              </w:rPr>
            </w:pPr>
            <w:r w:rsidRPr="00621BF1">
              <w:rPr>
                <w:rFonts w:ascii="Gill Sans MT" w:hAnsi="Gill Sans MT"/>
                <w:b/>
                <w:sz w:val="22"/>
                <w:szCs w:val="22"/>
                <w:lang w:val="fr-FR"/>
              </w:rPr>
              <w:t>VACCINS, CHAINE DU FROID ET LOGISTIQUE</w:t>
            </w: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tc>
        <w:tc>
          <w:tcPr>
            <w:tcW w:w="2008" w:type="pct"/>
          </w:tcPr>
          <w:p w:rsidR="00431B9D" w:rsidRPr="00621BF1" w:rsidRDefault="008263E1"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lastRenderedPageBreak/>
              <w:t>Réalisation des évaluations</w:t>
            </w:r>
            <w:r w:rsidR="00431B9D" w:rsidRPr="00621BF1">
              <w:rPr>
                <w:rFonts w:ascii="Gill Sans MT" w:hAnsi="Gill Sans MT"/>
                <w:sz w:val="22"/>
                <w:szCs w:val="22"/>
                <w:lang w:val="fr-FR"/>
              </w:rPr>
              <w:t xml:space="preserve"> de </w:t>
            </w:r>
            <w:r w:rsidRPr="00621BF1">
              <w:rPr>
                <w:rFonts w:ascii="Gill Sans MT" w:hAnsi="Gill Sans MT"/>
                <w:sz w:val="22"/>
                <w:szCs w:val="22"/>
                <w:lang w:val="fr-FR"/>
              </w:rPr>
              <w:t>la Gestion Efficace des Vaccins (2011et 2016) ;</w:t>
            </w:r>
          </w:p>
          <w:p w:rsidR="00C72011" w:rsidRDefault="00145E78"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 plan d’amélioration de la GEV</w:t>
            </w:r>
            <w:r w:rsidR="008247A4">
              <w:rPr>
                <w:rFonts w:ascii="Gill Sans MT" w:hAnsi="Gill Sans MT"/>
                <w:sz w:val="22"/>
                <w:szCs w:val="22"/>
                <w:lang w:val="fr-FR"/>
              </w:rPr>
              <w:t xml:space="preserve"> couvrant la période 2016-2021</w:t>
            </w:r>
          </w:p>
          <w:p w:rsidR="00C72011" w:rsidRDefault="00C72011" w:rsidP="0015288B">
            <w:pPr>
              <w:pStyle w:val="Corpsdetexte"/>
              <w:numPr>
                <w:ilvl w:val="0"/>
                <w:numId w:val="10"/>
              </w:numPr>
              <w:spacing w:before="0"/>
              <w:rPr>
                <w:rFonts w:ascii="Gill Sans MT" w:hAnsi="Gill Sans MT"/>
                <w:sz w:val="22"/>
                <w:szCs w:val="22"/>
                <w:lang w:val="fr-FR"/>
              </w:rPr>
            </w:pPr>
            <w:proofErr w:type="spellStart"/>
            <w:r>
              <w:rPr>
                <w:rFonts w:ascii="Gill Sans MT" w:hAnsi="Gill Sans MT"/>
                <w:sz w:val="22"/>
                <w:szCs w:val="22"/>
                <w:lang w:val="fr-FR"/>
              </w:rPr>
              <w:t>Realisation</w:t>
            </w:r>
            <w:proofErr w:type="spellEnd"/>
            <w:r>
              <w:rPr>
                <w:rFonts w:ascii="Gill Sans MT" w:hAnsi="Gill Sans MT"/>
                <w:sz w:val="22"/>
                <w:szCs w:val="22"/>
                <w:lang w:val="fr-FR"/>
              </w:rPr>
              <w:t xml:space="preserve"> d’un inventaire exhaustif des équipements de la chaine du froid</w:t>
            </w:r>
          </w:p>
          <w:p w:rsidR="00145E78" w:rsidRPr="00621BF1" w:rsidRDefault="00C72011" w:rsidP="0015288B">
            <w:pPr>
              <w:pStyle w:val="Corpsdetexte"/>
              <w:numPr>
                <w:ilvl w:val="0"/>
                <w:numId w:val="10"/>
              </w:numPr>
              <w:spacing w:before="0"/>
              <w:rPr>
                <w:rFonts w:ascii="Gill Sans MT" w:hAnsi="Gill Sans MT"/>
                <w:sz w:val="22"/>
                <w:szCs w:val="22"/>
                <w:lang w:val="fr-FR"/>
              </w:rPr>
            </w:pPr>
            <w:r>
              <w:rPr>
                <w:rFonts w:ascii="Gill Sans MT" w:hAnsi="Gill Sans MT"/>
                <w:sz w:val="22"/>
                <w:szCs w:val="22"/>
                <w:lang w:val="fr-FR"/>
              </w:rPr>
              <w:t xml:space="preserve">Disponibilité </w:t>
            </w:r>
            <w:r w:rsidR="00145E78" w:rsidRPr="00621BF1">
              <w:rPr>
                <w:rFonts w:ascii="Gill Sans MT" w:hAnsi="Gill Sans MT"/>
                <w:sz w:val="22"/>
                <w:szCs w:val="22"/>
                <w:lang w:val="fr-FR"/>
              </w:rPr>
              <w:t xml:space="preserve"> d’un plan de réhabilitation</w:t>
            </w:r>
            <w:r>
              <w:rPr>
                <w:rFonts w:ascii="Gill Sans MT" w:hAnsi="Gill Sans MT"/>
                <w:sz w:val="22"/>
                <w:szCs w:val="22"/>
                <w:lang w:val="fr-FR"/>
              </w:rPr>
              <w:t xml:space="preserve"> et d’un plan de maintenance</w:t>
            </w:r>
            <w:r w:rsidR="00145E78" w:rsidRPr="00621BF1">
              <w:rPr>
                <w:rFonts w:ascii="Gill Sans MT" w:hAnsi="Gill Sans MT"/>
                <w:sz w:val="22"/>
                <w:szCs w:val="22"/>
                <w:lang w:val="fr-FR"/>
              </w:rPr>
              <w:t> ;</w:t>
            </w:r>
          </w:p>
          <w:p w:rsidR="00431B9D"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des plans d’approvisionnement des vaccins à tous les niveaux ;</w:t>
            </w:r>
          </w:p>
          <w:p w:rsidR="001F6530" w:rsidRPr="00621BF1" w:rsidRDefault="001F6530" w:rsidP="001F6530">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Réalisation des évaluations de la Gestion Efficace des </w:t>
            </w:r>
            <w:r w:rsidRPr="00621BF1">
              <w:rPr>
                <w:rFonts w:ascii="Gill Sans MT" w:hAnsi="Gill Sans MT"/>
                <w:sz w:val="22"/>
                <w:szCs w:val="22"/>
                <w:lang w:val="fr-FR"/>
              </w:rPr>
              <w:lastRenderedPageBreak/>
              <w:t>Vaccins (2011et 2016) ;</w:t>
            </w:r>
          </w:p>
          <w:p w:rsidR="001F6530" w:rsidRPr="00621BF1" w:rsidRDefault="001F6530" w:rsidP="001F6530">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 plan d’amélioration de la GEV, d’un Inventaire et d’un plan de réhabilitation ;</w:t>
            </w:r>
          </w:p>
          <w:p w:rsidR="001F6530" w:rsidRPr="00621BF1" w:rsidRDefault="001F6530" w:rsidP="001F6530">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des plans d’approvisionnement des vaccins à tous les niveaux ;</w:t>
            </w:r>
          </w:p>
          <w:p w:rsidR="001F6530" w:rsidRPr="00621BF1" w:rsidRDefault="001F6530" w:rsidP="001F6530">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Utilisation des logiciels DVD-MT et SMT au niveau central ;</w:t>
            </w:r>
          </w:p>
          <w:p w:rsidR="001F6530" w:rsidRPr="00621BF1" w:rsidRDefault="001F6530" w:rsidP="001F6530">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des plans d’approvisionnement des vaccins à tous les niveaux ;</w:t>
            </w:r>
          </w:p>
          <w:p w:rsidR="001F6530" w:rsidRDefault="001F6530" w:rsidP="001F6530">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Disponibilité régulière de certains antigènes </w:t>
            </w:r>
          </w:p>
          <w:p w:rsidR="001F6530" w:rsidRPr="00621BF1" w:rsidRDefault="001F6530" w:rsidP="001F6530">
            <w:pPr>
              <w:pStyle w:val="Corpsdetexte"/>
              <w:spacing w:before="0"/>
              <w:ind w:left="360"/>
              <w:rPr>
                <w:rFonts w:ascii="Gill Sans MT" w:hAnsi="Gill Sans MT"/>
                <w:sz w:val="22"/>
                <w:szCs w:val="22"/>
                <w:lang w:val="fr-FR"/>
              </w:rPr>
            </w:pP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Utilisation des logiciels DVD-MT et SMT au niveau central ;</w:t>
            </w:r>
          </w:p>
          <w:p w:rsidR="00F1753D" w:rsidRPr="00621BF1" w:rsidRDefault="00F1753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des plans d’approvisionnement des vaccins à tous les niveaux ;</w:t>
            </w:r>
          </w:p>
          <w:p w:rsidR="008263E1" w:rsidRPr="00621BF1" w:rsidRDefault="008263E1"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Disponibilité </w:t>
            </w:r>
            <w:r w:rsidR="00F1753D" w:rsidRPr="00621BF1">
              <w:rPr>
                <w:rFonts w:ascii="Gill Sans MT" w:hAnsi="Gill Sans MT"/>
                <w:sz w:val="22"/>
                <w:szCs w:val="22"/>
                <w:lang w:val="fr-FR"/>
              </w:rPr>
              <w:t>régulière de certains antigènes ;</w:t>
            </w:r>
          </w:p>
          <w:p w:rsidR="00F1753D" w:rsidRPr="00621BF1" w:rsidRDefault="00F1753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Installation des réfrigérateurs solaires dans 100% des centres de santé de Conakry et de plus de 80% des centres de santé de l’intérieur du pays ; </w:t>
            </w:r>
          </w:p>
          <w:p w:rsidR="008263E1" w:rsidRPr="00621BF1" w:rsidRDefault="008263E1"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w:t>
            </w:r>
            <w:r w:rsidR="00F1753D" w:rsidRPr="00621BF1">
              <w:rPr>
                <w:rFonts w:ascii="Gill Sans MT" w:hAnsi="Gill Sans MT"/>
                <w:sz w:val="22"/>
                <w:szCs w:val="22"/>
                <w:lang w:val="fr-FR"/>
              </w:rPr>
              <w:t>e ligne budgétaire dédiée</w:t>
            </w:r>
            <w:r w:rsidRPr="00621BF1">
              <w:rPr>
                <w:rFonts w:ascii="Gill Sans MT" w:hAnsi="Gill Sans MT"/>
                <w:sz w:val="22"/>
                <w:szCs w:val="22"/>
                <w:lang w:val="fr-FR"/>
              </w:rPr>
              <w:t xml:space="preserve"> à l’achat des vaccins</w:t>
            </w:r>
            <w:r w:rsidR="00F1753D" w:rsidRPr="00621BF1">
              <w:rPr>
                <w:rFonts w:ascii="Gill Sans MT" w:hAnsi="Gill Sans MT"/>
                <w:sz w:val="22"/>
                <w:szCs w:val="22"/>
                <w:lang w:val="fr-FR"/>
              </w:rPr>
              <w:t> ;</w:t>
            </w:r>
            <w:r w:rsidRPr="00621BF1">
              <w:rPr>
                <w:rFonts w:ascii="Gill Sans MT" w:hAnsi="Gill Sans MT"/>
                <w:sz w:val="22"/>
                <w:szCs w:val="22"/>
                <w:lang w:val="fr-FR"/>
              </w:rPr>
              <w:t xml:space="preserve"> </w:t>
            </w:r>
          </w:p>
          <w:p w:rsidR="008263E1" w:rsidRPr="00621BF1" w:rsidRDefault="008263E1"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Adhésion du pays à l’init</w:t>
            </w:r>
            <w:r w:rsidR="00F1753D" w:rsidRPr="00621BF1">
              <w:rPr>
                <w:rFonts w:ascii="Gill Sans MT" w:hAnsi="Gill Sans MT"/>
                <w:sz w:val="22"/>
                <w:szCs w:val="22"/>
                <w:lang w:val="fr-FR"/>
              </w:rPr>
              <w:t>iative d’indépendance vaccinale ;</w:t>
            </w:r>
          </w:p>
          <w:p w:rsidR="00F1753D" w:rsidRPr="00621BF1" w:rsidRDefault="00F1753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 mémorandum d’attente entre le Ministère de la santé et l’Unicef pour  l’acquisition  de vaccin de  qualité ;</w:t>
            </w:r>
          </w:p>
          <w:p w:rsidR="008263E1" w:rsidRPr="00621BF1" w:rsidRDefault="00F1753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Disponibilité d’un groupe </w:t>
            </w:r>
            <w:r w:rsidR="008263E1" w:rsidRPr="00621BF1">
              <w:rPr>
                <w:rFonts w:ascii="Gill Sans MT" w:hAnsi="Gill Sans MT"/>
                <w:sz w:val="22"/>
                <w:szCs w:val="22"/>
                <w:lang w:val="fr-FR"/>
              </w:rPr>
              <w:t xml:space="preserve">électrogène de </w:t>
            </w:r>
            <w:r w:rsidRPr="00621BF1">
              <w:rPr>
                <w:rFonts w:ascii="Gill Sans MT" w:hAnsi="Gill Sans MT"/>
                <w:sz w:val="22"/>
                <w:szCs w:val="22"/>
                <w:lang w:val="fr-FR"/>
              </w:rPr>
              <w:t>relais au niveau central ;</w:t>
            </w:r>
            <w:r w:rsidR="008263E1" w:rsidRPr="00621BF1">
              <w:rPr>
                <w:rFonts w:ascii="Gill Sans MT" w:hAnsi="Gill Sans MT"/>
                <w:sz w:val="22"/>
                <w:szCs w:val="22"/>
                <w:lang w:val="fr-FR"/>
              </w:rPr>
              <w:t xml:space="preserve"> </w:t>
            </w:r>
          </w:p>
          <w:p w:rsidR="008263E1" w:rsidRPr="00621BF1" w:rsidRDefault="008263E1"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Utilisation des outils de planification, de gestion de stocks</w:t>
            </w:r>
            <w:r w:rsidR="00F1753D" w:rsidRPr="00621BF1">
              <w:rPr>
                <w:rFonts w:ascii="Gill Sans MT" w:hAnsi="Gill Sans MT"/>
                <w:sz w:val="22"/>
                <w:szCs w:val="22"/>
                <w:lang w:val="fr-FR"/>
              </w:rPr>
              <w:t>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de 2 agents formés en maintenance au niveau national (à recycler)</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Mise en œuvre de la politique de la sécurité des </w:t>
            </w:r>
            <w:r w:rsidRPr="00621BF1">
              <w:rPr>
                <w:rFonts w:ascii="Gill Sans MT" w:hAnsi="Gill Sans MT"/>
                <w:sz w:val="22"/>
                <w:szCs w:val="22"/>
                <w:lang w:val="fr-FR"/>
              </w:rPr>
              <w:lastRenderedPageBreak/>
              <w:t>injections dans 100% de districts</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Disponibilité d’incinérateurs fonctionnels à l’hôpital national </w:t>
            </w:r>
            <w:proofErr w:type="spellStart"/>
            <w:r w:rsidRPr="00621BF1">
              <w:rPr>
                <w:rFonts w:ascii="Gill Sans MT" w:hAnsi="Gill Sans MT"/>
                <w:sz w:val="22"/>
                <w:szCs w:val="22"/>
                <w:lang w:val="fr-FR"/>
              </w:rPr>
              <w:t>Donka</w:t>
            </w:r>
            <w:proofErr w:type="spellEnd"/>
            <w:r w:rsidRPr="00621BF1">
              <w:rPr>
                <w:rFonts w:ascii="Gill Sans MT" w:hAnsi="Gill Sans MT"/>
                <w:sz w:val="22"/>
                <w:szCs w:val="22"/>
                <w:lang w:val="fr-FR"/>
              </w:rPr>
              <w:t xml:space="preserve">, Ignace </w:t>
            </w:r>
            <w:proofErr w:type="spellStart"/>
            <w:r w:rsidRPr="00621BF1">
              <w:rPr>
                <w:rFonts w:ascii="Gill Sans MT" w:hAnsi="Gill Sans MT"/>
                <w:sz w:val="22"/>
                <w:szCs w:val="22"/>
                <w:lang w:val="fr-FR"/>
              </w:rPr>
              <w:t>Denn</w:t>
            </w:r>
            <w:proofErr w:type="spellEnd"/>
            <w:r w:rsidRPr="00621BF1">
              <w:rPr>
                <w:rFonts w:ascii="Gill Sans MT" w:hAnsi="Gill Sans MT"/>
                <w:sz w:val="22"/>
                <w:szCs w:val="22"/>
                <w:lang w:val="fr-FR"/>
              </w:rPr>
              <w:t xml:space="preserve"> dans certains  régions et districts sanitaires ;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 parc logistique (véhicules de supervision, approvis</w:t>
            </w:r>
            <w:r w:rsidR="00922EE7" w:rsidRPr="00621BF1">
              <w:rPr>
                <w:rFonts w:ascii="Gill Sans MT" w:hAnsi="Gill Sans MT"/>
                <w:sz w:val="22"/>
                <w:szCs w:val="22"/>
                <w:lang w:val="fr-FR"/>
              </w:rPr>
              <w:t>ionnement et motos pour le PEV).</w:t>
            </w:r>
          </w:p>
          <w:p w:rsidR="00922EE7" w:rsidRPr="00621BF1" w:rsidRDefault="00922EE7" w:rsidP="00922EE7">
            <w:pPr>
              <w:pStyle w:val="Corpsdetexte"/>
              <w:spacing w:before="0"/>
              <w:ind w:left="360"/>
              <w:rPr>
                <w:rFonts w:ascii="Gill Sans MT" w:hAnsi="Gill Sans MT"/>
                <w:sz w:val="14"/>
                <w:szCs w:val="22"/>
                <w:lang w:val="fr-FR"/>
              </w:rPr>
            </w:pPr>
          </w:p>
        </w:tc>
        <w:tc>
          <w:tcPr>
            <w:tcW w:w="2072" w:type="pct"/>
          </w:tcPr>
          <w:p w:rsidR="00F17C93" w:rsidRDefault="00F17C93" w:rsidP="0015288B">
            <w:pPr>
              <w:pStyle w:val="Corpsdetexte"/>
              <w:numPr>
                <w:ilvl w:val="0"/>
                <w:numId w:val="10"/>
              </w:numPr>
              <w:spacing w:before="0"/>
              <w:rPr>
                <w:rFonts w:ascii="Gill Sans MT" w:hAnsi="Gill Sans MT"/>
                <w:sz w:val="22"/>
                <w:szCs w:val="22"/>
                <w:lang w:val="fr-FR"/>
              </w:rPr>
            </w:pPr>
            <w:r>
              <w:rPr>
                <w:rFonts w:ascii="Gill Sans MT" w:hAnsi="Gill Sans MT"/>
                <w:sz w:val="22"/>
                <w:szCs w:val="22"/>
                <w:lang w:val="fr-FR"/>
              </w:rPr>
              <w:lastRenderedPageBreak/>
              <w:t>Faibles scores des évaluations de la Gestion efficace des Vaccins (Score global : 37%</w:t>
            </w:r>
            <w:r w:rsidR="008247A4">
              <w:rPr>
                <w:rFonts w:ascii="Gill Sans MT" w:hAnsi="Gill Sans MT"/>
                <w:sz w:val="22"/>
                <w:szCs w:val="22"/>
                <w:lang w:val="fr-FR"/>
              </w:rPr>
              <w:t xml:space="preserve"> en 2016</w:t>
            </w:r>
            <w:r>
              <w:rPr>
                <w:rFonts w:ascii="Gill Sans MT" w:hAnsi="Gill Sans MT"/>
                <w:sz w:val="22"/>
                <w:szCs w:val="22"/>
                <w:lang w:val="fr-FR"/>
              </w:rPr>
              <w:t>);</w:t>
            </w:r>
          </w:p>
          <w:p w:rsidR="00431B9D" w:rsidRPr="00621BF1" w:rsidRDefault="00145E78"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Retard dans l’a</w:t>
            </w:r>
            <w:r w:rsidR="00431B9D" w:rsidRPr="00621BF1">
              <w:rPr>
                <w:rFonts w:ascii="Gill Sans MT" w:hAnsi="Gill Sans MT"/>
                <w:sz w:val="22"/>
                <w:szCs w:val="22"/>
                <w:lang w:val="fr-FR"/>
              </w:rPr>
              <w:t xml:space="preserve">pprovisionnement </w:t>
            </w:r>
            <w:r w:rsidRPr="00621BF1">
              <w:rPr>
                <w:rFonts w:ascii="Gill Sans MT" w:hAnsi="Gill Sans MT"/>
                <w:sz w:val="22"/>
                <w:szCs w:val="22"/>
                <w:lang w:val="fr-FR"/>
              </w:rPr>
              <w:t xml:space="preserve">des points de vaccination </w:t>
            </w:r>
            <w:r w:rsidR="00F17C93" w:rsidRPr="00621BF1">
              <w:rPr>
                <w:rFonts w:ascii="Gill Sans MT" w:hAnsi="Gill Sans MT"/>
                <w:sz w:val="22"/>
                <w:szCs w:val="22"/>
                <w:lang w:val="fr-FR"/>
              </w:rPr>
              <w:t>situ</w:t>
            </w:r>
            <w:r w:rsidR="00F17C93">
              <w:rPr>
                <w:rFonts w:ascii="Gill Sans MT" w:hAnsi="Gill Sans MT"/>
                <w:sz w:val="22"/>
                <w:szCs w:val="22"/>
                <w:lang w:val="fr-FR"/>
              </w:rPr>
              <w:t>é</w:t>
            </w:r>
            <w:r w:rsidR="00F17C93" w:rsidRPr="00621BF1">
              <w:rPr>
                <w:rFonts w:ascii="Gill Sans MT" w:hAnsi="Gill Sans MT"/>
                <w:sz w:val="22"/>
                <w:szCs w:val="22"/>
                <w:lang w:val="fr-FR"/>
              </w:rPr>
              <w:t>s</w:t>
            </w:r>
            <w:r w:rsidRPr="00621BF1">
              <w:rPr>
                <w:rFonts w:ascii="Gill Sans MT" w:hAnsi="Gill Sans MT"/>
                <w:sz w:val="22"/>
                <w:szCs w:val="22"/>
                <w:lang w:val="fr-FR"/>
              </w:rPr>
              <w:t xml:space="preserve"> en zone rurale</w:t>
            </w:r>
            <w:r w:rsidR="00431B9D" w:rsidRPr="00621BF1">
              <w:rPr>
                <w:rFonts w:ascii="Gill Sans MT" w:hAnsi="Gill Sans MT"/>
                <w:sz w:val="22"/>
                <w:szCs w:val="22"/>
                <w:lang w:val="fr-FR"/>
              </w:rPr>
              <w:t>;</w:t>
            </w:r>
          </w:p>
          <w:p w:rsidR="00C72011" w:rsidRDefault="00C72011" w:rsidP="0015288B">
            <w:pPr>
              <w:pStyle w:val="Corpsdetexte"/>
              <w:numPr>
                <w:ilvl w:val="0"/>
                <w:numId w:val="10"/>
              </w:numPr>
              <w:spacing w:before="0"/>
              <w:rPr>
                <w:rFonts w:ascii="Gill Sans MT" w:hAnsi="Gill Sans MT"/>
                <w:sz w:val="22"/>
                <w:szCs w:val="22"/>
                <w:lang w:val="fr-FR"/>
              </w:rPr>
            </w:pPr>
            <w:r>
              <w:rPr>
                <w:rFonts w:ascii="Gill Sans MT" w:hAnsi="Gill Sans MT"/>
                <w:sz w:val="22"/>
                <w:szCs w:val="22"/>
                <w:lang w:val="fr-FR"/>
              </w:rPr>
              <w:t xml:space="preserve">Retard dans la mise </w:t>
            </w:r>
            <w:r w:rsidR="00875CDE">
              <w:rPr>
                <w:rFonts w:ascii="Gill Sans MT" w:hAnsi="Gill Sans MT"/>
                <w:sz w:val="22"/>
                <w:szCs w:val="22"/>
                <w:lang w:val="fr-FR"/>
              </w:rPr>
              <w:t>à</w:t>
            </w:r>
            <w:r>
              <w:rPr>
                <w:rFonts w:ascii="Gill Sans MT" w:hAnsi="Gill Sans MT"/>
                <w:sz w:val="22"/>
                <w:szCs w:val="22"/>
                <w:lang w:val="fr-FR"/>
              </w:rPr>
              <w:t xml:space="preserve"> jour </w:t>
            </w:r>
            <w:r w:rsidR="00875CDE">
              <w:rPr>
                <w:rFonts w:ascii="Gill Sans MT" w:hAnsi="Gill Sans MT"/>
                <w:sz w:val="22"/>
                <w:szCs w:val="22"/>
                <w:lang w:val="fr-FR"/>
              </w:rPr>
              <w:t>du SMT</w:t>
            </w:r>
            <w:r>
              <w:rPr>
                <w:rFonts w:ascii="Gill Sans MT" w:hAnsi="Gill Sans MT"/>
                <w:sz w:val="22"/>
                <w:szCs w:val="22"/>
                <w:lang w:val="fr-FR"/>
              </w:rPr>
              <w:t xml:space="preserve"> </w:t>
            </w:r>
            <w:r w:rsidR="00875CDE">
              <w:rPr>
                <w:rFonts w:ascii="Gill Sans MT" w:hAnsi="Gill Sans MT"/>
                <w:sz w:val="22"/>
                <w:szCs w:val="22"/>
                <w:lang w:val="fr-FR"/>
              </w:rPr>
              <w:t>ne permettant pas le suivi effectif des stocks</w:t>
            </w:r>
            <w:r w:rsidR="008247A4">
              <w:rPr>
                <w:rFonts w:ascii="Gill Sans MT" w:hAnsi="Gill Sans MT"/>
                <w:sz w:val="22"/>
                <w:szCs w:val="22"/>
                <w:lang w:val="fr-FR"/>
              </w:rPr>
              <w:t> ;</w:t>
            </w:r>
          </w:p>
          <w:p w:rsidR="000704E8" w:rsidRPr="00621BF1" w:rsidRDefault="000704E8"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et faible utilisation du matériel informatique pour la gestion des données dans la plupart des régions et districts sanitaires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Mauvaise gestion des vaccins à tous les niveaux</w:t>
            </w:r>
            <w:r w:rsidR="00145E78" w:rsidRPr="00621BF1">
              <w:rPr>
                <w:rFonts w:ascii="Gill Sans MT" w:hAnsi="Gill Sans MT"/>
                <w:sz w:val="22"/>
                <w:szCs w:val="22"/>
                <w:lang w:val="fr-FR"/>
              </w:rPr>
              <w:t xml:space="preserve"> (taux de perte élevés)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lastRenderedPageBreak/>
              <w:t>Insuffisance  des capacités de stockage au niveau régional et périphérique surtout avec l’introduction des nouveaux vaccins</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Vétusté de certains matériels de CDF nécessitant un remplacement</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du personnel formé en maintenance</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La vétusté des groupes électrogènes de relais </w:t>
            </w:r>
            <w:r w:rsidR="000704E8" w:rsidRPr="00621BF1">
              <w:rPr>
                <w:rFonts w:ascii="Gill Sans MT" w:hAnsi="Gill Sans MT"/>
                <w:sz w:val="22"/>
                <w:szCs w:val="22"/>
                <w:lang w:val="fr-FR"/>
              </w:rPr>
              <w:t>au niveau opérationnel ;</w:t>
            </w:r>
          </w:p>
          <w:p w:rsidR="00431B9D" w:rsidRPr="00621BF1" w:rsidRDefault="000704E8"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Absence </w:t>
            </w:r>
            <w:r w:rsidR="00431B9D" w:rsidRPr="00621BF1">
              <w:rPr>
                <w:rFonts w:ascii="Gill Sans MT" w:hAnsi="Gill Sans MT"/>
                <w:sz w:val="22"/>
                <w:szCs w:val="22"/>
                <w:lang w:val="fr-FR"/>
              </w:rPr>
              <w:t>d’alarme réfr</w:t>
            </w:r>
            <w:r w:rsidRPr="00621BF1">
              <w:rPr>
                <w:rFonts w:ascii="Gill Sans MT" w:hAnsi="Gill Sans MT"/>
                <w:sz w:val="22"/>
                <w:szCs w:val="22"/>
                <w:lang w:val="fr-FR"/>
              </w:rPr>
              <w:t>igérant au niveau de la chaîne du</w:t>
            </w:r>
            <w:r w:rsidR="00431B9D" w:rsidRPr="00621BF1">
              <w:rPr>
                <w:rFonts w:ascii="Gill Sans MT" w:hAnsi="Gill Sans MT"/>
                <w:sz w:val="22"/>
                <w:szCs w:val="22"/>
                <w:lang w:val="fr-FR"/>
              </w:rPr>
              <w:t xml:space="preserve"> froid centrale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des moyens logistiques pour l’approvisionnement, les supervisions et les stratégies avancées ;</w:t>
            </w:r>
          </w:p>
          <w:p w:rsidR="00431B9D" w:rsidRPr="00621BF1" w:rsidRDefault="00431B9D" w:rsidP="0015288B">
            <w:pPr>
              <w:pStyle w:val="Corpsdetexte"/>
              <w:numPr>
                <w:ilvl w:val="0"/>
                <w:numId w:val="10"/>
              </w:numPr>
              <w:spacing w:before="0"/>
              <w:rPr>
                <w:rFonts w:ascii="Gill Sans MT" w:hAnsi="Gill Sans MT"/>
                <w:sz w:val="22"/>
                <w:szCs w:val="22"/>
              </w:rPr>
            </w:pPr>
            <w:proofErr w:type="spellStart"/>
            <w:r w:rsidRPr="00621BF1">
              <w:rPr>
                <w:rFonts w:ascii="Gill Sans MT" w:hAnsi="Gill Sans MT"/>
                <w:sz w:val="22"/>
                <w:szCs w:val="22"/>
              </w:rPr>
              <w:t>Insuffisance</w:t>
            </w:r>
            <w:proofErr w:type="spellEnd"/>
            <w:r w:rsidRPr="00621BF1">
              <w:rPr>
                <w:rFonts w:ascii="Gill Sans MT" w:hAnsi="Gill Sans MT"/>
                <w:sz w:val="22"/>
                <w:szCs w:val="22"/>
              </w:rPr>
              <w:t xml:space="preserve"> </w:t>
            </w:r>
            <w:proofErr w:type="spellStart"/>
            <w:r w:rsidRPr="00621BF1">
              <w:rPr>
                <w:rFonts w:ascii="Gill Sans MT" w:hAnsi="Gill Sans MT"/>
                <w:sz w:val="22"/>
                <w:szCs w:val="22"/>
              </w:rPr>
              <w:t>d’incinérateurs</w:t>
            </w:r>
            <w:proofErr w:type="spellEnd"/>
            <w:r w:rsidRPr="00621BF1">
              <w:rPr>
                <w:rFonts w:ascii="Gill Sans MT" w:hAnsi="Gill Sans MT"/>
                <w:sz w:val="22"/>
                <w:szCs w:val="22"/>
              </w:rPr>
              <w:t>.</w:t>
            </w:r>
          </w:p>
          <w:p w:rsidR="00431B9D" w:rsidRPr="00621BF1" w:rsidRDefault="00431B9D" w:rsidP="000704E8">
            <w:pPr>
              <w:pStyle w:val="Corpsdetexte"/>
              <w:spacing w:before="0"/>
              <w:rPr>
                <w:rFonts w:ascii="Gill Sans MT" w:hAnsi="Gill Sans MT"/>
                <w:sz w:val="22"/>
                <w:szCs w:val="22"/>
              </w:rPr>
            </w:pPr>
          </w:p>
          <w:p w:rsidR="00431B9D" w:rsidRPr="00621BF1" w:rsidRDefault="00431B9D" w:rsidP="000704E8">
            <w:pPr>
              <w:pStyle w:val="Corpsdetexte"/>
              <w:spacing w:before="0"/>
              <w:rPr>
                <w:rFonts w:ascii="Gill Sans MT" w:hAnsi="Gill Sans MT"/>
                <w:sz w:val="22"/>
                <w:szCs w:val="22"/>
              </w:rPr>
            </w:pPr>
          </w:p>
          <w:p w:rsidR="00431B9D" w:rsidRPr="00621BF1" w:rsidRDefault="00431B9D" w:rsidP="000704E8">
            <w:pPr>
              <w:pStyle w:val="Corpsdetexte"/>
              <w:spacing w:before="0"/>
              <w:rPr>
                <w:rFonts w:ascii="Gill Sans MT" w:hAnsi="Gill Sans MT"/>
                <w:sz w:val="22"/>
                <w:szCs w:val="22"/>
              </w:rPr>
            </w:pPr>
          </w:p>
          <w:p w:rsidR="00431B9D" w:rsidRPr="00621BF1" w:rsidRDefault="00431B9D" w:rsidP="000704E8">
            <w:pPr>
              <w:pStyle w:val="Corpsdetexte"/>
              <w:spacing w:before="0"/>
              <w:ind w:left="360"/>
              <w:rPr>
                <w:rFonts w:ascii="Gill Sans MT" w:hAnsi="Gill Sans MT"/>
                <w:sz w:val="22"/>
                <w:szCs w:val="22"/>
              </w:rPr>
            </w:pPr>
          </w:p>
        </w:tc>
      </w:tr>
      <w:tr w:rsidR="004B1E69" w:rsidRPr="00621BF1" w:rsidTr="004B1E69">
        <w:tc>
          <w:tcPr>
            <w:tcW w:w="920" w:type="pct"/>
          </w:tcPr>
          <w:p w:rsidR="00431B9D" w:rsidRPr="00621BF1" w:rsidRDefault="00431B9D" w:rsidP="00145E78">
            <w:pPr>
              <w:pStyle w:val="Corpsdetexte"/>
              <w:spacing w:before="0"/>
              <w:jc w:val="center"/>
              <w:rPr>
                <w:rFonts w:ascii="Gill Sans MT" w:hAnsi="Gill Sans MT"/>
                <w:b/>
                <w:sz w:val="22"/>
                <w:szCs w:val="22"/>
              </w:rPr>
            </w:pPr>
          </w:p>
          <w:p w:rsidR="00431B9D" w:rsidRPr="00621BF1" w:rsidRDefault="00431B9D" w:rsidP="00145E78">
            <w:pPr>
              <w:pStyle w:val="Corpsdetexte"/>
              <w:spacing w:before="0"/>
              <w:jc w:val="center"/>
              <w:rPr>
                <w:rFonts w:ascii="Gill Sans MT" w:hAnsi="Gill Sans MT"/>
                <w:b/>
                <w:sz w:val="22"/>
                <w:szCs w:val="22"/>
              </w:rPr>
            </w:pPr>
          </w:p>
          <w:p w:rsidR="00431B9D" w:rsidRPr="00621BF1" w:rsidRDefault="00431B9D" w:rsidP="00145E78">
            <w:pPr>
              <w:pStyle w:val="Corpsdetexte"/>
              <w:spacing w:before="0"/>
              <w:jc w:val="center"/>
              <w:rPr>
                <w:rFonts w:ascii="Gill Sans MT" w:hAnsi="Gill Sans MT"/>
                <w:b/>
                <w:sz w:val="22"/>
                <w:szCs w:val="22"/>
              </w:rPr>
            </w:pPr>
          </w:p>
          <w:p w:rsidR="00431B9D" w:rsidRPr="00621BF1" w:rsidRDefault="00922EE7" w:rsidP="00145E78">
            <w:pPr>
              <w:pStyle w:val="Corpsdetexte"/>
              <w:spacing w:before="0"/>
              <w:jc w:val="center"/>
              <w:rPr>
                <w:rFonts w:ascii="Gill Sans MT" w:hAnsi="Gill Sans MT"/>
                <w:b/>
                <w:sz w:val="22"/>
                <w:szCs w:val="22"/>
                <w:lang w:val="fr-FR"/>
              </w:rPr>
            </w:pPr>
            <w:r w:rsidRPr="00621BF1">
              <w:rPr>
                <w:rFonts w:ascii="Gill Sans MT" w:hAnsi="Gill Sans MT"/>
                <w:b/>
                <w:sz w:val="22"/>
                <w:szCs w:val="22"/>
                <w:lang w:val="fr-FR"/>
              </w:rPr>
              <w:t>SURVEILLANCE DES MALADIES EVITABLES PAR LA VACCINATION</w:t>
            </w:r>
          </w:p>
        </w:tc>
        <w:tc>
          <w:tcPr>
            <w:tcW w:w="2008" w:type="pct"/>
          </w:tcPr>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 point focal surveillance à tous les niveaux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Disponibilité des supports de notifications des maladies cibles et des maladies sous surveillance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Réseau de surveillance épidémiologique fonctionnel dans tout le pays</w:t>
            </w:r>
            <w:r w:rsidR="007727B9" w:rsidRPr="00621BF1">
              <w:rPr>
                <w:rFonts w:ascii="Gill Sans MT" w:hAnsi="Gill Sans MT"/>
                <w:sz w:val="22"/>
                <w:szCs w:val="22"/>
                <w:lang w:val="fr-FR"/>
              </w:rPr>
              <w:t>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Performance de la surveillance des PFA satisfaisante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Bonnes performances de la surveillance basée sur le cas de la rougeole, la fièvre jaune, le TMN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Amélioration des données de la SMIR</w:t>
            </w:r>
            <w:r w:rsidR="007727B9" w:rsidRPr="00621BF1">
              <w:rPr>
                <w:rFonts w:ascii="Gill Sans MT" w:hAnsi="Gill Sans MT"/>
                <w:sz w:val="22"/>
                <w:szCs w:val="22"/>
                <w:lang w:val="fr-FR"/>
              </w:rPr>
              <w:t>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 laboratoire national pour la con</w:t>
            </w:r>
            <w:r w:rsidR="007727B9" w:rsidRPr="00621BF1">
              <w:rPr>
                <w:rFonts w:ascii="Gill Sans MT" w:hAnsi="Gill Sans MT"/>
                <w:sz w:val="22"/>
                <w:szCs w:val="22"/>
                <w:lang w:val="fr-FR"/>
              </w:rPr>
              <w:t xml:space="preserve">firmation des cas de rougeole  </w:t>
            </w:r>
            <w:r w:rsidRPr="00621BF1">
              <w:rPr>
                <w:rFonts w:ascii="Gill Sans MT" w:hAnsi="Gill Sans MT"/>
                <w:sz w:val="22"/>
                <w:szCs w:val="22"/>
                <w:lang w:val="fr-FR"/>
              </w:rPr>
              <w:t>et fièvre jaune</w:t>
            </w:r>
            <w:r w:rsidR="007727B9" w:rsidRPr="00621BF1">
              <w:rPr>
                <w:rFonts w:ascii="Gill Sans MT" w:hAnsi="Gill Sans MT"/>
                <w:sz w:val="22"/>
                <w:szCs w:val="22"/>
                <w:lang w:val="fr-FR"/>
              </w:rPr>
              <w:t> ;</w:t>
            </w:r>
          </w:p>
          <w:p w:rsidR="007727B9" w:rsidRPr="00621BF1" w:rsidRDefault="007727B9"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 comité national de certification d’éradication de la poliomyélite;</w:t>
            </w:r>
          </w:p>
          <w:p w:rsidR="007727B9" w:rsidRPr="00621BF1" w:rsidRDefault="007727B9"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 comité national d’experts polio ;</w:t>
            </w:r>
          </w:p>
          <w:p w:rsidR="007727B9" w:rsidRPr="00621BF1" w:rsidRDefault="007727B9"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Existence d’un système de surveillance PFA, rougeole et Fièvre Jaune basé sur le cas ; </w:t>
            </w:r>
          </w:p>
          <w:p w:rsidR="007727B9" w:rsidRPr="00621BF1" w:rsidRDefault="007727B9"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 comité national MAPI.</w:t>
            </w:r>
          </w:p>
          <w:p w:rsidR="00922EE7" w:rsidRPr="00621BF1" w:rsidRDefault="00922EE7" w:rsidP="00922EE7">
            <w:pPr>
              <w:pStyle w:val="Corpsdetexte"/>
              <w:spacing w:before="0"/>
              <w:ind w:left="360"/>
              <w:rPr>
                <w:rFonts w:ascii="Gill Sans MT" w:hAnsi="Gill Sans MT"/>
                <w:sz w:val="14"/>
                <w:szCs w:val="22"/>
                <w:lang w:val="fr-FR"/>
              </w:rPr>
            </w:pPr>
          </w:p>
        </w:tc>
        <w:tc>
          <w:tcPr>
            <w:tcW w:w="2072" w:type="pct"/>
          </w:tcPr>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de matériel informatique pour la gestion des données de surveillance dans la plupart des régions et districts sanitaires ;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d’affichage des directives sur la définition des cas dans certaines formations sanitaires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de zones insuffisamment visitées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Persistance de quelques cas  de TMN, rougeole et fièvre jaune dans  certaines régions ;</w:t>
            </w:r>
          </w:p>
          <w:p w:rsidR="00922EE7" w:rsidRPr="00621BF1" w:rsidRDefault="00431B9D" w:rsidP="0015288B">
            <w:pPr>
              <w:pStyle w:val="Corpsdetexte"/>
              <w:numPr>
                <w:ilvl w:val="0"/>
                <w:numId w:val="33"/>
              </w:numPr>
              <w:spacing w:before="0"/>
              <w:contextualSpacing/>
              <w:rPr>
                <w:rFonts w:ascii="Gill Sans MT" w:hAnsi="Gill Sans MT"/>
                <w:sz w:val="22"/>
                <w:szCs w:val="22"/>
                <w:lang w:val="fr-FR"/>
              </w:rPr>
            </w:pPr>
            <w:r w:rsidRPr="00621BF1">
              <w:rPr>
                <w:rFonts w:ascii="Gill Sans MT" w:hAnsi="Gill Sans MT"/>
                <w:sz w:val="22"/>
                <w:szCs w:val="22"/>
                <w:lang w:val="fr-FR"/>
              </w:rPr>
              <w:t>Faible capacité d’analyse locale des données</w:t>
            </w:r>
            <w:r w:rsidR="00922EE7" w:rsidRPr="00621BF1">
              <w:rPr>
                <w:rFonts w:ascii="Gill Sans MT" w:hAnsi="Gill Sans MT"/>
                <w:sz w:val="22"/>
                <w:szCs w:val="22"/>
                <w:lang w:val="fr-FR"/>
              </w:rPr>
              <w:t> ;</w:t>
            </w:r>
          </w:p>
          <w:p w:rsidR="00922EE7" w:rsidRPr="00621BF1" w:rsidRDefault="00922EE7" w:rsidP="0015288B">
            <w:pPr>
              <w:pStyle w:val="Corpsdetexte"/>
              <w:numPr>
                <w:ilvl w:val="0"/>
                <w:numId w:val="33"/>
              </w:numPr>
              <w:spacing w:before="0"/>
              <w:contextualSpacing/>
              <w:rPr>
                <w:rFonts w:ascii="Gill Sans MT" w:hAnsi="Gill Sans MT"/>
                <w:sz w:val="22"/>
                <w:szCs w:val="22"/>
                <w:lang w:val="fr-FR"/>
              </w:rPr>
            </w:pPr>
            <w:r w:rsidRPr="00621BF1">
              <w:rPr>
                <w:rFonts w:ascii="Gill Sans MT" w:hAnsi="Gill Sans MT"/>
                <w:sz w:val="22"/>
                <w:szCs w:val="22"/>
                <w:lang w:val="fr-FR"/>
              </w:rPr>
              <w:t xml:space="preserve">Insuffisance du monitorage des activités de surveillance ; </w:t>
            </w:r>
          </w:p>
          <w:p w:rsidR="00922EE7" w:rsidRPr="00621BF1" w:rsidRDefault="00922EE7" w:rsidP="0015288B">
            <w:pPr>
              <w:numPr>
                <w:ilvl w:val="0"/>
                <w:numId w:val="33"/>
              </w:numPr>
              <w:spacing w:after="0"/>
              <w:contextualSpacing/>
              <w:rPr>
                <w:rFonts w:eastAsia="Times New Roman" w:cs="Arial"/>
                <w:lang w:val="fr-FR"/>
              </w:rPr>
            </w:pPr>
            <w:r w:rsidRPr="00621BF1">
              <w:rPr>
                <w:rFonts w:eastAsia="Times New Roman" w:cs="Arial"/>
                <w:lang w:val="fr-FR"/>
              </w:rPr>
              <w:t>Non réalisation de la surveillance épidémiologique à base communautaire ;</w:t>
            </w:r>
          </w:p>
          <w:p w:rsidR="00922EE7" w:rsidRPr="00621BF1" w:rsidRDefault="00922EE7" w:rsidP="0015288B">
            <w:pPr>
              <w:numPr>
                <w:ilvl w:val="0"/>
                <w:numId w:val="33"/>
              </w:numPr>
              <w:spacing w:after="0"/>
              <w:contextualSpacing/>
              <w:rPr>
                <w:rFonts w:eastAsia="Times New Roman" w:cs="Arial"/>
                <w:lang w:val="fr-FR"/>
              </w:rPr>
            </w:pPr>
            <w:r w:rsidRPr="00621BF1">
              <w:rPr>
                <w:rFonts w:eastAsia="Times New Roman" w:cs="Arial"/>
                <w:lang w:val="fr-FR"/>
              </w:rPr>
              <w:t>Insuffisance de fonctionnalité du système de surveillance environnementale ;</w:t>
            </w:r>
          </w:p>
          <w:p w:rsidR="00922EE7" w:rsidRPr="00621BF1" w:rsidRDefault="00922EE7" w:rsidP="0015288B">
            <w:pPr>
              <w:numPr>
                <w:ilvl w:val="0"/>
                <w:numId w:val="33"/>
              </w:numPr>
              <w:spacing w:after="0"/>
              <w:contextualSpacing/>
              <w:rPr>
                <w:rFonts w:eastAsia="Times New Roman" w:cs="Arial"/>
                <w:lang w:val="fr-FR"/>
              </w:rPr>
            </w:pPr>
            <w:r w:rsidRPr="00621BF1">
              <w:rPr>
                <w:rFonts w:eastAsia="Times New Roman" w:cs="Arial"/>
                <w:lang w:val="fr-FR"/>
              </w:rPr>
              <w:t>Faiblesse dans la recherche et de notification des MAPI;</w:t>
            </w:r>
          </w:p>
          <w:p w:rsidR="00891555" w:rsidRPr="00621BF1" w:rsidRDefault="00922EE7" w:rsidP="0015288B">
            <w:pPr>
              <w:numPr>
                <w:ilvl w:val="0"/>
                <w:numId w:val="33"/>
              </w:numPr>
              <w:spacing w:after="0"/>
              <w:contextualSpacing/>
              <w:rPr>
                <w:rFonts w:eastAsia="Times New Roman" w:cs="Arial"/>
                <w:lang w:val="fr-FR"/>
              </w:rPr>
            </w:pPr>
            <w:r w:rsidRPr="00621BF1">
              <w:rPr>
                <w:rFonts w:eastAsia="Times New Roman" w:cs="Arial"/>
                <w:lang w:val="fr-FR"/>
              </w:rPr>
              <w:t xml:space="preserve">Faible </w:t>
            </w:r>
            <w:r w:rsidR="00891555" w:rsidRPr="00621BF1">
              <w:rPr>
                <w:rFonts w:eastAsia="Times New Roman" w:cs="Arial"/>
                <w:lang w:val="fr-FR"/>
              </w:rPr>
              <w:t>fonctionnement</w:t>
            </w:r>
            <w:r w:rsidRPr="00621BF1">
              <w:rPr>
                <w:rFonts w:eastAsia="Times New Roman" w:cs="Arial"/>
                <w:lang w:val="fr-FR"/>
              </w:rPr>
              <w:t xml:space="preserve"> du Groupe Spé</w:t>
            </w:r>
            <w:r w:rsidR="00891555" w:rsidRPr="00621BF1">
              <w:rPr>
                <w:rFonts w:eastAsia="Times New Roman" w:cs="Arial"/>
                <w:lang w:val="fr-FR"/>
              </w:rPr>
              <w:t>cial de Confinement de la Polio ;</w:t>
            </w:r>
          </w:p>
          <w:p w:rsidR="00922EE7" w:rsidRPr="00621BF1" w:rsidRDefault="00922EE7" w:rsidP="0015288B">
            <w:pPr>
              <w:numPr>
                <w:ilvl w:val="0"/>
                <w:numId w:val="33"/>
              </w:numPr>
              <w:spacing w:after="0"/>
              <w:contextualSpacing/>
              <w:rPr>
                <w:rFonts w:eastAsia="Times New Roman" w:cs="Arial"/>
                <w:lang w:val="fr-FR"/>
              </w:rPr>
            </w:pPr>
            <w:r w:rsidRPr="00621BF1">
              <w:rPr>
                <w:rFonts w:eastAsia="Times New Roman" w:cs="Arial"/>
                <w:lang w:val="fr-FR"/>
              </w:rPr>
              <w:t xml:space="preserve">Insuffisance </w:t>
            </w:r>
            <w:r w:rsidR="00891555" w:rsidRPr="00621BF1">
              <w:rPr>
                <w:rFonts w:eastAsia="Times New Roman" w:cs="Arial"/>
                <w:lang w:val="fr-FR"/>
              </w:rPr>
              <w:t>de retro information des données de la surveillance.</w:t>
            </w:r>
          </w:p>
        </w:tc>
      </w:tr>
      <w:tr w:rsidR="004B1E69" w:rsidRPr="00621BF1" w:rsidTr="004B1E69">
        <w:tc>
          <w:tcPr>
            <w:tcW w:w="920" w:type="pct"/>
          </w:tcPr>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lang w:val="fr-FR"/>
              </w:rPr>
            </w:pPr>
          </w:p>
          <w:p w:rsidR="00431B9D" w:rsidRPr="00621BF1" w:rsidRDefault="00431B9D" w:rsidP="00145E78">
            <w:pPr>
              <w:pStyle w:val="Corpsdetexte"/>
              <w:spacing w:before="0"/>
              <w:jc w:val="center"/>
              <w:rPr>
                <w:rFonts w:ascii="Gill Sans MT" w:hAnsi="Gill Sans MT"/>
                <w:b/>
                <w:sz w:val="22"/>
                <w:szCs w:val="22"/>
              </w:rPr>
            </w:pPr>
            <w:r w:rsidRPr="00621BF1">
              <w:rPr>
                <w:rFonts w:ascii="Gill Sans MT" w:hAnsi="Gill Sans MT"/>
                <w:b/>
                <w:sz w:val="22"/>
                <w:szCs w:val="22"/>
              </w:rPr>
              <w:t>COMMUNICATION ET MOBILISATION SOCIALE</w:t>
            </w:r>
          </w:p>
        </w:tc>
        <w:tc>
          <w:tcPr>
            <w:tcW w:w="2008" w:type="pct"/>
          </w:tcPr>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lastRenderedPageBreak/>
              <w:t>Existence d'un plan intégré de Communication du PEV</w:t>
            </w:r>
            <w:r w:rsidR="00891555" w:rsidRPr="00621BF1">
              <w:rPr>
                <w:rFonts w:ascii="Gill Sans MT" w:hAnsi="Gill Sans MT"/>
                <w:sz w:val="22"/>
                <w:szCs w:val="22"/>
                <w:lang w:val="fr-FR"/>
              </w:rPr>
              <w:t> ;</w:t>
            </w:r>
          </w:p>
          <w:p w:rsidR="00431B9D" w:rsidRPr="00621BF1" w:rsidRDefault="00891555"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w:t>
            </w:r>
            <w:r w:rsidR="00431B9D" w:rsidRPr="00621BF1">
              <w:rPr>
                <w:rFonts w:ascii="Gill Sans MT" w:hAnsi="Gill Sans MT"/>
                <w:sz w:val="22"/>
                <w:szCs w:val="22"/>
                <w:lang w:val="fr-FR"/>
              </w:rPr>
              <w:t>xistence  d'un protocole d'accord entre la société civile et le PEV pour la sensibilisation et la mobilisation sociale</w:t>
            </w:r>
            <w:r w:rsidRPr="00621BF1">
              <w:rPr>
                <w:rFonts w:ascii="Gill Sans MT" w:hAnsi="Gill Sans MT"/>
                <w:sz w:val="22"/>
                <w:szCs w:val="22"/>
                <w:lang w:val="fr-FR"/>
              </w:rPr>
              <w:t> ;</w:t>
            </w:r>
          </w:p>
          <w:p w:rsidR="00431B9D" w:rsidRPr="00621BF1" w:rsidRDefault="00891555"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U</w:t>
            </w:r>
            <w:r w:rsidR="00431B9D" w:rsidRPr="00621BF1">
              <w:rPr>
                <w:rFonts w:ascii="Gill Sans MT" w:hAnsi="Gill Sans MT"/>
                <w:sz w:val="22"/>
                <w:szCs w:val="22"/>
                <w:lang w:val="fr-FR"/>
              </w:rPr>
              <w:t xml:space="preserve">tilisation  des medias dans la mobilisation sociale pour </w:t>
            </w:r>
            <w:r w:rsidR="00431B9D" w:rsidRPr="00621BF1">
              <w:rPr>
                <w:rFonts w:ascii="Gill Sans MT" w:hAnsi="Gill Sans MT"/>
                <w:sz w:val="22"/>
                <w:szCs w:val="22"/>
                <w:lang w:val="fr-FR"/>
              </w:rPr>
              <w:lastRenderedPageBreak/>
              <w:t>les activités de  mobilisation sociale pendant les campagnes de  vaccination</w:t>
            </w:r>
            <w:r w:rsidRPr="00621BF1">
              <w:rPr>
                <w:rFonts w:ascii="Gill Sans MT" w:hAnsi="Gill Sans MT"/>
                <w:sz w:val="22"/>
                <w:szCs w:val="22"/>
                <w:lang w:val="fr-FR"/>
              </w:rPr>
              <w:t> ;</w:t>
            </w:r>
          </w:p>
          <w:p w:rsidR="00431B9D" w:rsidRPr="00621BF1" w:rsidRDefault="00891555"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w:t>
            </w:r>
            <w:r w:rsidR="00431B9D" w:rsidRPr="00621BF1">
              <w:rPr>
                <w:rFonts w:ascii="Gill Sans MT" w:hAnsi="Gill Sans MT"/>
                <w:sz w:val="22"/>
                <w:szCs w:val="22"/>
                <w:lang w:val="fr-FR"/>
              </w:rPr>
              <w:t>xistence des supports de communication en faveur des activités de  vaccination</w:t>
            </w:r>
            <w:r w:rsidRPr="00621BF1">
              <w:rPr>
                <w:rFonts w:ascii="Gill Sans MT" w:hAnsi="Gill Sans MT"/>
                <w:sz w:val="22"/>
                <w:szCs w:val="22"/>
                <w:lang w:val="fr-FR"/>
              </w:rPr>
              <w:t>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L’existence des structures communautaires ‘COSAH, COGES plates-formes</w:t>
            </w:r>
            <w:r w:rsidR="00891555" w:rsidRPr="00621BF1">
              <w:rPr>
                <w:rFonts w:ascii="Gill Sans MT" w:hAnsi="Gill Sans MT"/>
                <w:sz w:val="22"/>
                <w:szCs w:val="22"/>
                <w:lang w:val="fr-FR"/>
              </w:rPr>
              <w:t>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d’une Politique Nationale d’IEC et des directives</w:t>
            </w:r>
            <w:r w:rsidR="00891555" w:rsidRPr="00621BF1">
              <w:rPr>
                <w:rFonts w:ascii="Gill Sans MT" w:hAnsi="Gill Sans MT"/>
                <w:sz w:val="22"/>
                <w:szCs w:val="22"/>
                <w:lang w:val="fr-FR"/>
              </w:rPr>
              <w:t> ;</w:t>
            </w:r>
          </w:p>
          <w:p w:rsidR="00431B9D" w:rsidRPr="00621BF1" w:rsidRDefault="00431B9D" w:rsidP="00891555">
            <w:pPr>
              <w:spacing w:after="0"/>
              <w:ind w:left="360"/>
              <w:contextualSpacing/>
              <w:jc w:val="both"/>
              <w:rPr>
                <w:lang w:val="fr-FR"/>
              </w:rPr>
            </w:pPr>
          </w:p>
        </w:tc>
        <w:tc>
          <w:tcPr>
            <w:tcW w:w="2072" w:type="pct"/>
          </w:tcPr>
          <w:p w:rsidR="004B1E69"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lastRenderedPageBreak/>
              <w:t>Insuffisance de ressources humaines formées dans le domaine d</w:t>
            </w:r>
            <w:r w:rsidR="00891555" w:rsidRPr="00621BF1">
              <w:rPr>
                <w:rFonts w:ascii="Gill Sans MT" w:hAnsi="Gill Sans MT"/>
                <w:sz w:val="22"/>
                <w:szCs w:val="22"/>
                <w:lang w:val="fr-FR"/>
              </w:rPr>
              <w:t xml:space="preserve">e la communication pour la santé, y compris vaccination ;  </w:t>
            </w:r>
          </w:p>
          <w:p w:rsidR="004B1E69" w:rsidRPr="00621BF1" w:rsidRDefault="004B1E69"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de formation  des agents de santé  dans la communication interpersonnelle en PEV de routine</w:t>
            </w:r>
          </w:p>
          <w:p w:rsidR="00431B9D" w:rsidRPr="00445F51" w:rsidRDefault="00431B9D" w:rsidP="0015288B">
            <w:pPr>
              <w:pStyle w:val="Corpsdetexte"/>
              <w:numPr>
                <w:ilvl w:val="0"/>
                <w:numId w:val="10"/>
              </w:numPr>
              <w:spacing w:before="0"/>
              <w:rPr>
                <w:rFonts w:ascii="Gill Sans MT" w:hAnsi="Gill Sans MT"/>
                <w:sz w:val="22"/>
                <w:szCs w:val="22"/>
                <w:highlight w:val="yellow"/>
                <w:lang w:val="fr-FR"/>
              </w:rPr>
            </w:pPr>
            <w:r w:rsidRPr="00445F51">
              <w:rPr>
                <w:rFonts w:ascii="Gill Sans MT" w:hAnsi="Gill Sans MT"/>
                <w:sz w:val="22"/>
                <w:szCs w:val="22"/>
                <w:highlight w:val="yellow"/>
                <w:lang w:val="fr-FR"/>
              </w:rPr>
              <w:lastRenderedPageBreak/>
              <w:t>Faible Communication en faveur du PEV dans les médias</w:t>
            </w:r>
            <w:r w:rsidR="00891555" w:rsidRPr="00445F51">
              <w:rPr>
                <w:rFonts w:ascii="Gill Sans MT" w:hAnsi="Gill Sans MT"/>
                <w:sz w:val="22"/>
                <w:szCs w:val="22"/>
                <w:highlight w:val="yellow"/>
                <w:lang w:val="fr-FR"/>
              </w:rPr>
              <w:t> ;</w:t>
            </w:r>
          </w:p>
          <w:p w:rsidR="00431B9D" w:rsidRPr="00445F51" w:rsidRDefault="00891555" w:rsidP="0015288B">
            <w:pPr>
              <w:pStyle w:val="Corpsdetexte"/>
              <w:numPr>
                <w:ilvl w:val="0"/>
                <w:numId w:val="10"/>
              </w:numPr>
              <w:spacing w:before="0"/>
              <w:rPr>
                <w:rFonts w:ascii="Gill Sans MT" w:hAnsi="Gill Sans MT"/>
                <w:sz w:val="22"/>
                <w:szCs w:val="22"/>
                <w:highlight w:val="yellow"/>
                <w:lang w:val="fr-FR"/>
              </w:rPr>
            </w:pPr>
            <w:r w:rsidRPr="00445F51">
              <w:rPr>
                <w:rFonts w:ascii="Gill Sans MT" w:hAnsi="Gill Sans MT"/>
                <w:sz w:val="22"/>
                <w:szCs w:val="22"/>
                <w:highlight w:val="yellow"/>
                <w:lang w:val="fr-FR"/>
              </w:rPr>
              <w:t xml:space="preserve">Insuffisance de </w:t>
            </w:r>
            <w:r w:rsidR="00431B9D" w:rsidRPr="00445F51">
              <w:rPr>
                <w:rFonts w:ascii="Gill Sans MT" w:hAnsi="Gill Sans MT"/>
                <w:sz w:val="22"/>
                <w:szCs w:val="22"/>
                <w:highlight w:val="yellow"/>
                <w:lang w:val="fr-FR"/>
              </w:rPr>
              <w:t>communication sociale  pour le PEV de routine</w:t>
            </w:r>
            <w:r w:rsidRPr="00445F51">
              <w:rPr>
                <w:rFonts w:ascii="Gill Sans MT" w:hAnsi="Gill Sans MT"/>
                <w:sz w:val="22"/>
                <w:szCs w:val="22"/>
                <w:highlight w:val="yellow"/>
                <w:lang w:val="fr-FR"/>
              </w:rPr>
              <w:t> ;</w:t>
            </w:r>
          </w:p>
          <w:p w:rsidR="00431B9D" w:rsidRPr="00445F51" w:rsidRDefault="004B1E69" w:rsidP="0015288B">
            <w:pPr>
              <w:pStyle w:val="Corpsdetexte"/>
              <w:numPr>
                <w:ilvl w:val="0"/>
                <w:numId w:val="10"/>
              </w:numPr>
              <w:spacing w:before="0"/>
              <w:rPr>
                <w:rFonts w:ascii="Gill Sans MT" w:hAnsi="Gill Sans MT"/>
                <w:sz w:val="22"/>
                <w:szCs w:val="22"/>
                <w:highlight w:val="yellow"/>
                <w:lang w:val="fr-FR"/>
              </w:rPr>
            </w:pPr>
            <w:r w:rsidRPr="00445F51">
              <w:rPr>
                <w:rFonts w:ascii="Gill Sans MT" w:hAnsi="Gill Sans MT"/>
                <w:sz w:val="22"/>
                <w:szCs w:val="22"/>
                <w:highlight w:val="yellow"/>
                <w:lang w:val="fr-FR"/>
              </w:rPr>
              <w:t>M</w:t>
            </w:r>
            <w:r w:rsidR="00431B9D" w:rsidRPr="00445F51">
              <w:rPr>
                <w:rFonts w:ascii="Gill Sans MT" w:hAnsi="Gill Sans MT"/>
                <w:sz w:val="22"/>
                <w:szCs w:val="22"/>
                <w:highlight w:val="yellow"/>
                <w:lang w:val="fr-FR"/>
              </w:rPr>
              <w:t>anque de support éducatif spécifique  autour de la Vaccination (matériels IEC:/C4D)</w:t>
            </w:r>
            <w:r w:rsidRPr="00445F51">
              <w:rPr>
                <w:rFonts w:ascii="Gill Sans MT" w:hAnsi="Gill Sans MT"/>
                <w:sz w:val="22"/>
                <w:szCs w:val="22"/>
                <w:highlight w:val="yellow"/>
                <w:lang w:val="fr-FR"/>
              </w:rPr>
              <w:t> ;</w:t>
            </w:r>
          </w:p>
          <w:p w:rsidR="00431B9D" w:rsidRPr="00445F51" w:rsidRDefault="004B1E69" w:rsidP="0015288B">
            <w:pPr>
              <w:pStyle w:val="Corpsdetexte"/>
              <w:numPr>
                <w:ilvl w:val="0"/>
                <w:numId w:val="10"/>
              </w:numPr>
              <w:spacing w:before="0"/>
              <w:rPr>
                <w:rFonts w:ascii="Gill Sans MT" w:hAnsi="Gill Sans MT"/>
                <w:sz w:val="22"/>
                <w:szCs w:val="22"/>
                <w:highlight w:val="yellow"/>
                <w:lang w:val="fr-FR"/>
              </w:rPr>
            </w:pPr>
            <w:r w:rsidRPr="00445F51">
              <w:rPr>
                <w:rFonts w:ascii="Gill Sans MT" w:hAnsi="Gill Sans MT"/>
                <w:sz w:val="22"/>
                <w:szCs w:val="22"/>
                <w:highlight w:val="yellow"/>
                <w:lang w:val="fr-FR"/>
              </w:rPr>
              <w:t>Absence</w:t>
            </w:r>
            <w:r w:rsidR="00431B9D" w:rsidRPr="00445F51">
              <w:rPr>
                <w:rFonts w:ascii="Gill Sans MT" w:hAnsi="Gill Sans MT"/>
                <w:sz w:val="22"/>
                <w:szCs w:val="22"/>
                <w:highlight w:val="yellow"/>
                <w:lang w:val="fr-FR"/>
              </w:rPr>
              <w:t xml:space="preserve"> de points focaux chargés de communication au niveau de district et régionaux</w:t>
            </w:r>
            <w:r w:rsidRPr="00445F51">
              <w:rPr>
                <w:rFonts w:ascii="Gill Sans MT" w:hAnsi="Gill Sans MT"/>
                <w:sz w:val="22"/>
                <w:szCs w:val="22"/>
                <w:highlight w:val="yellow"/>
                <w:lang w:val="fr-FR"/>
              </w:rPr>
              <w:t> ;</w:t>
            </w:r>
          </w:p>
          <w:p w:rsidR="00431B9D" w:rsidRPr="00445F51" w:rsidRDefault="004B1E69" w:rsidP="0015288B">
            <w:pPr>
              <w:pStyle w:val="Corpsdetexte"/>
              <w:numPr>
                <w:ilvl w:val="0"/>
                <w:numId w:val="10"/>
              </w:numPr>
              <w:spacing w:before="0"/>
              <w:rPr>
                <w:rFonts w:ascii="Gill Sans MT" w:hAnsi="Gill Sans MT"/>
                <w:sz w:val="22"/>
                <w:szCs w:val="22"/>
                <w:highlight w:val="yellow"/>
                <w:lang w:val="fr-FR"/>
              </w:rPr>
            </w:pPr>
            <w:r w:rsidRPr="00445F51">
              <w:rPr>
                <w:rFonts w:ascii="Gill Sans MT" w:hAnsi="Gill Sans MT"/>
                <w:sz w:val="22"/>
                <w:szCs w:val="22"/>
                <w:highlight w:val="yellow"/>
                <w:lang w:val="fr-FR"/>
              </w:rPr>
              <w:t>N</w:t>
            </w:r>
            <w:r w:rsidR="00431B9D" w:rsidRPr="00445F51">
              <w:rPr>
                <w:rFonts w:ascii="Gill Sans MT" w:hAnsi="Gill Sans MT"/>
                <w:sz w:val="22"/>
                <w:szCs w:val="22"/>
                <w:highlight w:val="yellow"/>
                <w:lang w:val="fr-FR"/>
              </w:rPr>
              <w:t>on valorisation des activités de théâtre dans le cadre de la vaccination</w:t>
            </w:r>
            <w:r w:rsidRPr="00445F51">
              <w:rPr>
                <w:rFonts w:ascii="Gill Sans MT" w:hAnsi="Gill Sans MT"/>
                <w:sz w:val="22"/>
                <w:szCs w:val="22"/>
                <w:highlight w:val="yellow"/>
                <w:lang w:val="fr-FR"/>
              </w:rPr>
              <w:t> ;</w:t>
            </w:r>
          </w:p>
          <w:p w:rsidR="00431B9D" w:rsidRPr="00445F51" w:rsidRDefault="004B1E69" w:rsidP="0015288B">
            <w:pPr>
              <w:pStyle w:val="Corpsdetexte"/>
              <w:numPr>
                <w:ilvl w:val="0"/>
                <w:numId w:val="10"/>
              </w:numPr>
              <w:spacing w:before="0"/>
              <w:rPr>
                <w:rFonts w:ascii="Gill Sans MT" w:hAnsi="Gill Sans MT"/>
                <w:sz w:val="22"/>
                <w:szCs w:val="22"/>
                <w:highlight w:val="yellow"/>
                <w:lang w:val="fr-FR"/>
              </w:rPr>
            </w:pPr>
            <w:r w:rsidRPr="00445F51">
              <w:rPr>
                <w:rFonts w:ascii="Gill Sans MT" w:hAnsi="Gill Sans MT"/>
                <w:sz w:val="22"/>
                <w:szCs w:val="22"/>
                <w:highlight w:val="yellow"/>
                <w:lang w:val="fr-FR"/>
              </w:rPr>
              <w:t>M</w:t>
            </w:r>
            <w:r w:rsidR="00431B9D" w:rsidRPr="00445F51">
              <w:rPr>
                <w:rFonts w:ascii="Gill Sans MT" w:hAnsi="Gill Sans MT"/>
                <w:sz w:val="22"/>
                <w:szCs w:val="22"/>
                <w:highlight w:val="yellow"/>
                <w:lang w:val="fr-FR"/>
              </w:rPr>
              <w:t>anque de partenariat entre les media et le ministère de la santé en faveur des activités de vaccination</w:t>
            </w:r>
            <w:r w:rsidRPr="00445F51">
              <w:rPr>
                <w:rFonts w:ascii="Gill Sans MT" w:hAnsi="Gill Sans MT"/>
                <w:sz w:val="22"/>
                <w:szCs w:val="22"/>
                <w:highlight w:val="yellow"/>
                <w:lang w:val="fr-FR"/>
              </w:rPr>
              <w:t>;</w:t>
            </w:r>
          </w:p>
          <w:p w:rsidR="00431B9D" w:rsidRPr="00445F51" w:rsidRDefault="004B1E69" w:rsidP="0015288B">
            <w:pPr>
              <w:pStyle w:val="Corpsdetexte"/>
              <w:numPr>
                <w:ilvl w:val="0"/>
                <w:numId w:val="10"/>
              </w:numPr>
              <w:spacing w:before="0"/>
              <w:rPr>
                <w:rFonts w:ascii="Gill Sans MT" w:hAnsi="Gill Sans MT"/>
                <w:sz w:val="22"/>
                <w:szCs w:val="22"/>
                <w:highlight w:val="yellow"/>
                <w:lang w:val="fr-FR"/>
              </w:rPr>
            </w:pPr>
            <w:r w:rsidRPr="00445F51">
              <w:rPr>
                <w:rFonts w:ascii="Gill Sans MT" w:hAnsi="Gill Sans MT"/>
                <w:sz w:val="22"/>
                <w:szCs w:val="22"/>
                <w:highlight w:val="yellow"/>
                <w:lang w:val="fr-FR"/>
              </w:rPr>
              <w:t>F</w:t>
            </w:r>
            <w:r w:rsidR="00431B9D" w:rsidRPr="00445F51">
              <w:rPr>
                <w:rFonts w:ascii="Gill Sans MT" w:hAnsi="Gill Sans MT"/>
                <w:sz w:val="22"/>
                <w:szCs w:val="22"/>
                <w:highlight w:val="yellow"/>
                <w:lang w:val="fr-FR"/>
              </w:rPr>
              <w:t>aible implication des Agents Communautaires dans la mobilisation sociale</w:t>
            </w:r>
          </w:p>
          <w:p w:rsidR="00431B9D" w:rsidRPr="00445F51" w:rsidRDefault="004B1E69" w:rsidP="0015288B">
            <w:pPr>
              <w:pStyle w:val="Corpsdetexte"/>
              <w:numPr>
                <w:ilvl w:val="0"/>
                <w:numId w:val="10"/>
              </w:numPr>
              <w:spacing w:before="0"/>
              <w:rPr>
                <w:rFonts w:ascii="Gill Sans MT" w:hAnsi="Gill Sans MT"/>
                <w:sz w:val="22"/>
                <w:szCs w:val="22"/>
                <w:highlight w:val="yellow"/>
                <w:lang w:val="fr-FR"/>
              </w:rPr>
            </w:pPr>
            <w:r w:rsidRPr="00445F51">
              <w:rPr>
                <w:rFonts w:ascii="Gill Sans MT" w:hAnsi="Gill Sans MT"/>
                <w:sz w:val="22"/>
                <w:szCs w:val="22"/>
                <w:highlight w:val="yellow"/>
                <w:lang w:val="fr-FR"/>
              </w:rPr>
              <w:t>Absence</w:t>
            </w:r>
            <w:r w:rsidR="00431B9D" w:rsidRPr="00445F51">
              <w:rPr>
                <w:rFonts w:ascii="Gill Sans MT" w:hAnsi="Gill Sans MT"/>
                <w:sz w:val="22"/>
                <w:szCs w:val="22"/>
                <w:highlight w:val="yellow"/>
                <w:lang w:val="fr-FR"/>
              </w:rPr>
              <w:t xml:space="preserve"> de site internet et de bull</w:t>
            </w:r>
            <w:r w:rsidRPr="00445F51">
              <w:rPr>
                <w:rFonts w:ascii="Gill Sans MT" w:hAnsi="Gill Sans MT"/>
                <w:sz w:val="22"/>
                <w:szCs w:val="22"/>
                <w:highlight w:val="yellow"/>
                <w:lang w:val="fr-FR"/>
              </w:rPr>
              <w:t>etin d'information  sur le PEV ;</w:t>
            </w:r>
          </w:p>
          <w:p w:rsidR="004B1E69" w:rsidRPr="00445F51" w:rsidRDefault="004B1E69" w:rsidP="0015288B">
            <w:pPr>
              <w:pStyle w:val="Paragraphedeliste"/>
              <w:numPr>
                <w:ilvl w:val="0"/>
                <w:numId w:val="10"/>
              </w:numPr>
              <w:spacing w:before="0" w:after="0"/>
              <w:rPr>
                <w:rFonts w:eastAsia="Times New Roman" w:cs="Arial"/>
                <w:highlight w:val="yellow"/>
                <w:lang w:val="fr-FR"/>
              </w:rPr>
            </w:pPr>
            <w:r w:rsidRPr="00445F51">
              <w:rPr>
                <w:rFonts w:eastAsia="Times New Roman" w:cs="Arial"/>
                <w:highlight w:val="yellow"/>
                <w:lang w:val="fr-FR"/>
              </w:rPr>
              <w:t>Faible documentation des bonnes pratiques en matière de communication sur le PEV ;</w:t>
            </w:r>
          </w:p>
          <w:p w:rsidR="004B1E69" w:rsidRPr="00445F51" w:rsidRDefault="004B1E69" w:rsidP="0015288B">
            <w:pPr>
              <w:pStyle w:val="Paragraphedeliste"/>
              <w:numPr>
                <w:ilvl w:val="0"/>
                <w:numId w:val="10"/>
              </w:numPr>
              <w:spacing w:before="0" w:after="0"/>
              <w:rPr>
                <w:rFonts w:eastAsia="Times New Roman" w:cs="Arial"/>
                <w:highlight w:val="yellow"/>
                <w:lang w:val="fr-FR"/>
              </w:rPr>
            </w:pPr>
            <w:r w:rsidRPr="00445F51">
              <w:rPr>
                <w:rFonts w:eastAsia="Times New Roman" w:cs="Arial"/>
                <w:highlight w:val="yellow"/>
                <w:lang w:val="fr-FR"/>
              </w:rPr>
              <w:t>Faible conservation des documents de vaccination (carte, carnet de santé…) par les parents ;</w:t>
            </w:r>
          </w:p>
          <w:p w:rsidR="00891555" w:rsidRPr="00445F51" w:rsidRDefault="004B1E69" w:rsidP="0015288B">
            <w:pPr>
              <w:numPr>
                <w:ilvl w:val="0"/>
                <w:numId w:val="10"/>
              </w:numPr>
              <w:spacing w:after="0" w:line="240" w:lineRule="auto"/>
              <w:contextualSpacing/>
              <w:rPr>
                <w:rFonts w:eastAsia="Times New Roman" w:cs="Arial"/>
                <w:highlight w:val="yellow"/>
                <w:lang w:val="fr-FR"/>
              </w:rPr>
            </w:pPr>
            <w:r w:rsidRPr="00445F51">
              <w:rPr>
                <w:rFonts w:eastAsia="Times New Roman" w:cs="Arial"/>
                <w:highlight w:val="yellow"/>
                <w:lang w:val="fr-FR"/>
              </w:rPr>
              <w:t xml:space="preserve">Faible fonctionnalité des  </w:t>
            </w:r>
            <w:r w:rsidR="00891555" w:rsidRPr="00445F51">
              <w:rPr>
                <w:rFonts w:eastAsia="Times New Roman" w:cs="Arial"/>
                <w:highlight w:val="yellow"/>
                <w:lang w:val="fr-FR"/>
              </w:rPr>
              <w:t xml:space="preserve">comités de santé à tous les niveaux ; </w:t>
            </w:r>
          </w:p>
          <w:p w:rsidR="00891555" w:rsidRPr="00445F51" w:rsidRDefault="00891555" w:rsidP="0015288B">
            <w:pPr>
              <w:numPr>
                <w:ilvl w:val="0"/>
                <w:numId w:val="10"/>
              </w:numPr>
              <w:spacing w:after="0" w:line="240" w:lineRule="auto"/>
              <w:contextualSpacing/>
              <w:rPr>
                <w:rFonts w:eastAsia="Times New Roman" w:cs="Arial"/>
                <w:highlight w:val="yellow"/>
                <w:lang w:val="fr-FR"/>
              </w:rPr>
            </w:pPr>
            <w:r w:rsidRPr="00445F51">
              <w:rPr>
                <w:rFonts w:eastAsia="Times New Roman" w:cs="Arial"/>
                <w:highlight w:val="yellow"/>
                <w:lang w:val="fr-FR"/>
              </w:rPr>
              <w:t>Persistance des cas de refus lors des AVS</w:t>
            </w:r>
            <w:r w:rsidR="004B1E69" w:rsidRPr="00445F51">
              <w:rPr>
                <w:rFonts w:eastAsia="Times New Roman" w:cs="Arial"/>
                <w:highlight w:val="yellow"/>
                <w:lang w:val="fr-FR"/>
              </w:rPr>
              <w:t> ;</w:t>
            </w:r>
          </w:p>
          <w:p w:rsidR="00891555" w:rsidRPr="00621BF1" w:rsidRDefault="00891555" w:rsidP="0015288B">
            <w:pPr>
              <w:pStyle w:val="Paragraphedeliste"/>
              <w:numPr>
                <w:ilvl w:val="0"/>
                <w:numId w:val="10"/>
              </w:numPr>
              <w:spacing w:before="0" w:after="0"/>
              <w:rPr>
                <w:rFonts w:eastAsia="Times New Roman" w:cs="Arial"/>
                <w:lang w:val="fr-FR"/>
              </w:rPr>
            </w:pPr>
            <w:r w:rsidRPr="00445F51">
              <w:rPr>
                <w:rFonts w:eastAsia="Times New Roman" w:cs="Arial"/>
                <w:highlight w:val="yellow"/>
                <w:lang w:val="fr-FR"/>
              </w:rPr>
              <w:t xml:space="preserve">Insuffisance dans la supervision et le suivi des activités de communication et de mobilisation </w:t>
            </w:r>
            <w:r w:rsidR="004B1E69" w:rsidRPr="00445F51">
              <w:rPr>
                <w:rFonts w:eastAsia="Times New Roman" w:cs="Arial"/>
                <w:highlight w:val="yellow"/>
                <w:lang w:val="fr-FR"/>
              </w:rPr>
              <w:t>sociale au niveau décentralisé.</w:t>
            </w:r>
          </w:p>
        </w:tc>
      </w:tr>
      <w:tr w:rsidR="004B1E69" w:rsidRPr="00621BF1" w:rsidTr="004B1E69">
        <w:tc>
          <w:tcPr>
            <w:tcW w:w="920" w:type="pct"/>
          </w:tcPr>
          <w:p w:rsidR="00431B9D" w:rsidRPr="00621BF1" w:rsidRDefault="00431B9D" w:rsidP="00145E78">
            <w:pPr>
              <w:pStyle w:val="Corpsdetexte"/>
              <w:spacing w:before="0"/>
              <w:jc w:val="center"/>
              <w:rPr>
                <w:rFonts w:ascii="Gill Sans MT" w:hAnsi="Gill Sans MT"/>
                <w:b/>
                <w:sz w:val="22"/>
                <w:szCs w:val="22"/>
                <w:lang w:val="fr-FR"/>
              </w:rPr>
            </w:pPr>
          </w:p>
          <w:p w:rsidR="00AB42F4" w:rsidRPr="00621BF1" w:rsidRDefault="00AB42F4" w:rsidP="00145E78">
            <w:pPr>
              <w:pStyle w:val="Corpsdetexte"/>
              <w:spacing w:before="0"/>
              <w:jc w:val="center"/>
              <w:rPr>
                <w:rFonts w:ascii="Gill Sans MT" w:hAnsi="Gill Sans MT"/>
                <w:b/>
                <w:sz w:val="22"/>
                <w:szCs w:val="22"/>
                <w:lang w:val="fr-FR"/>
              </w:rPr>
            </w:pPr>
          </w:p>
          <w:p w:rsidR="00AB42F4" w:rsidRPr="00621BF1" w:rsidRDefault="00AB42F4" w:rsidP="00145E78">
            <w:pPr>
              <w:pStyle w:val="Corpsdetexte"/>
              <w:spacing w:before="0"/>
              <w:jc w:val="center"/>
              <w:rPr>
                <w:rFonts w:ascii="Gill Sans MT" w:hAnsi="Gill Sans MT"/>
                <w:b/>
                <w:sz w:val="22"/>
                <w:szCs w:val="22"/>
                <w:lang w:val="fr-FR"/>
              </w:rPr>
            </w:pPr>
          </w:p>
          <w:p w:rsidR="00431B9D" w:rsidRPr="00621BF1" w:rsidRDefault="00AB42F4" w:rsidP="00145E78">
            <w:pPr>
              <w:pStyle w:val="Corpsdetexte"/>
              <w:spacing w:before="0"/>
              <w:jc w:val="center"/>
              <w:rPr>
                <w:rFonts w:ascii="Gill Sans MT" w:hAnsi="Gill Sans MT"/>
                <w:b/>
                <w:sz w:val="22"/>
                <w:szCs w:val="22"/>
              </w:rPr>
            </w:pPr>
            <w:r w:rsidRPr="00621BF1">
              <w:rPr>
                <w:rFonts w:ascii="Gill Sans MT" w:hAnsi="Gill Sans MT"/>
                <w:b/>
                <w:sz w:val="22"/>
                <w:szCs w:val="22"/>
              </w:rPr>
              <w:t>GESTION DU PROGRAMME</w:t>
            </w:r>
          </w:p>
        </w:tc>
        <w:tc>
          <w:tcPr>
            <w:tcW w:w="2008" w:type="pct"/>
          </w:tcPr>
          <w:p w:rsidR="00431B9D"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w:t>
            </w:r>
            <w:r w:rsidR="00431B9D" w:rsidRPr="00621BF1">
              <w:rPr>
                <w:rFonts w:ascii="Gill Sans MT" w:hAnsi="Gill Sans MT"/>
                <w:sz w:val="22"/>
                <w:szCs w:val="22"/>
                <w:lang w:val="fr-FR"/>
              </w:rPr>
              <w:t xml:space="preserve"> Comité</w:t>
            </w:r>
            <w:r w:rsidRPr="00621BF1">
              <w:rPr>
                <w:rFonts w:ascii="Gill Sans MT" w:hAnsi="Gill Sans MT"/>
                <w:sz w:val="22"/>
                <w:szCs w:val="22"/>
                <w:lang w:val="fr-FR"/>
              </w:rPr>
              <w:t xml:space="preserve"> de Coordination Inter agences (CCIA)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Organisation de réunions trimestrielles de suivi et d’évaluation du programme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des  instances de coordination fonctionnelles à tous les niveaux (Synthèse S/P, CTPS CTRS,  CTC,  Revue annuelle SSP) ;</w:t>
            </w:r>
          </w:p>
          <w:p w:rsidR="00AB42F4"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lastRenderedPageBreak/>
              <w:t>Disponibilité d’une équipe nationale formée au cours inter pays MLM ;</w:t>
            </w:r>
          </w:p>
          <w:p w:rsidR="00AB42F4"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Existence d’enseignants des facultés et d’autres écoles formés en </w:t>
            </w:r>
            <w:proofErr w:type="spellStart"/>
            <w:r w:rsidRPr="00621BF1">
              <w:rPr>
                <w:rFonts w:ascii="Gill Sans MT" w:hAnsi="Gill Sans MT"/>
                <w:sz w:val="22"/>
                <w:szCs w:val="22"/>
                <w:lang w:val="fr-FR"/>
              </w:rPr>
              <w:t>Vaccinologie</w:t>
            </w:r>
            <w:proofErr w:type="spellEnd"/>
            <w:r w:rsidRPr="00621BF1">
              <w:rPr>
                <w:rFonts w:ascii="Gill Sans MT" w:hAnsi="Gill Sans MT"/>
                <w:sz w:val="22"/>
                <w:szCs w:val="22"/>
                <w:lang w:val="fr-FR"/>
              </w:rPr>
              <w:t xml:space="preserve"> et à l ‘introduction des modules PEV dans les curricula de formation ;</w:t>
            </w:r>
          </w:p>
          <w:p w:rsidR="00AB42F4"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Formation de certains cadres en EPIVAC ; </w:t>
            </w:r>
          </w:p>
          <w:p w:rsidR="00AB42F4" w:rsidRPr="00621BF1" w:rsidRDefault="00AB42F4" w:rsidP="0015288B">
            <w:pPr>
              <w:pStyle w:val="Corpsdetexte"/>
              <w:numPr>
                <w:ilvl w:val="0"/>
                <w:numId w:val="10"/>
              </w:numPr>
              <w:spacing w:before="0"/>
              <w:rPr>
                <w:rFonts w:ascii="Gill Sans MT" w:hAnsi="Gill Sans MT"/>
                <w:sz w:val="22"/>
                <w:szCs w:val="22"/>
              </w:rPr>
            </w:pPr>
            <w:r w:rsidRPr="00621BF1">
              <w:rPr>
                <w:rFonts w:ascii="Gill Sans MT" w:hAnsi="Gill Sans MT"/>
                <w:sz w:val="22"/>
                <w:szCs w:val="22"/>
              </w:rPr>
              <w:t xml:space="preserve">Existence d’un </w:t>
            </w:r>
            <w:proofErr w:type="spellStart"/>
            <w:r w:rsidRPr="00621BF1">
              <w:rPr>
                <w:rFonts w:ascii="Gill Sans MT" w:hAnsi="Gill Sans MT"/>
                <w:sz w:val="22"/>
                <w:szCs w:val="22"/>
              </w:rPr>
              <w:t>réseau</w:t>
            </w:r>
            <w:proofErr w:type="spellEnd"/>
            <w:r w:rsidRPr="00621BF1">
              <w:rPr>
                <w:rFonts w:ascii="Gill Sans MT" w:hAnsi="Gill Sans MT"/>
                <w:sz w:val="22"/>
                <w:szCs w:val="22"/>
              </w:rPr>
              <w:t xml:space="preserve"> EPIVAC ;</w:t>
            </w:r>
          </w:p>
          <w:p w:rsidR="00AB42F4"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 fichier de monitorage informatisé des données de vaccination au niveau des régions et districts ;</w:t>
            </w:r>
          </w:p>
          <w:p w:rsidR="00431B9D" w:rsidRPr="00621BF1" w:rsidRDefault="00431B9D" w:rsidP="00AB42F4">
            <w:pPr>
              <w:pStyle w:val="Corpsdetexte"/>
              <w:spacing w:before="0"/>
              <w:ind w:left="360"/>
              <w:rPr>
                <w:rFonts w:ascii="Gill Sans MT" w:hAnsi="Gill Sans MT"/>
                <w:sz w:val="22"/>
                <w:szCs w:val="22"/>
                <w:lang w:val="fr-FR"/>
              </w:rPr>
            </w:pPr>
          </w:p>
        </w:tc>
        <w:tc>
          <w:tcPr>
            <w:tcW w:w="2072" w:type="pct"/>
          </w:tcPr>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lastRenderedPageBreak/>
              <w:t>Faible intégration des activités avec d’autres intervenants (PNLP, PCIME, MSR…)</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n</w:t>
            </w:r>
            <w:r w:rsidR="00AB42F4" w:rsidRPr="00621BF1">
              <w:rPr>
                <w:rFonts w:ascii="Gill Sans MT" w:hAnsi="Gill Sans MT"/>
                <w:sz w:val="22"/>
                <w:szCs w:val="22"/>
                <w:lang w:val="fr-FR"/>
              </w:rPr>
              <w:t>iveau de fonctionnement du CNC ;</w:t>
            </w:r>
          </w:p>
          <w:p w:rsidR="00431B9D"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c</w:t>
            </w:r>
            <w:r w:rsidR="00431B9D" w:rsidRPr="00621BF1">
              <w:rPr>
                <w:rFonts w:ascii="Gill Sans MT" w:hAnsi="Gill Sans MT"/>
                <w:sz w:val="22"/>
                <w:szCs w:val="22"/>
                <w:lang w:val="fr-FR"/>
              </w:rPr>
              <w:t xml:space="preserve">ollaboration </w:t>
            </w:r>
            <w:r w:rsidRPr="00621BF1">
              <w:rPr>
                <w:rFonts w:ascii="Gill Sans MT" w:hAnsi="Gill Sans MT"/>
                <w:sz w:val="22"/>
                <w:szCs w:val="22"/>
                <w:lang w:val="fr-FR"/>
              </w:rPr>
              <w:t xml:space="preserve">du PEV </w:t>
            </w:r>
            <w:r w:rsidR="00431B9D" w:rsidRPr="00621BF1">
              <w:rPr>
                <w:rFonts w:ascii="Gill Sans MT" w:hAnsi="Gill Sans MT"/>
                <w:sz w:val="22"/>
                <w:szCs w:val="22"/>
                <w:lang w:val="fr-FR"/>
              </w:rPr>
              <w:t>avec les structures privées, la société civile et les struct</w:t>
            </w:r>
            <w:r w:rsidRPr="00621BF1">
              <w:rPr>
                <w:rFonts w:ascii="Gill Sans MT" w:hAnsi="Gill Sans MT"/>
                <w:sz w:val="22"/>
                <w:szCs w:val="22"/>
                <w:lang w:val="fr-FR"/>
              </w:rPr>
              <w:t>ures de médecine traditionnelle ;</w:t>
            </w:r>
          </w:p>
          <w:p w:rsidR="00431B9D"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Absence</w:t>
            </w:r>
            <w:r w:rsidR="00431B9D" w:rsidRPr="00621BF1">
              <w:rPr>
                <w:rFonts w:ascii="Gill Sans MT" w:hAnsi="Gill Sans MT"/>
                <w:sz w:val="22"/>
                <w:szCs w:val="22"/>
                <w:lang w:val="fr-FR"/>
              </w:rPr>
              <w:t xml:space="preserve"> d</w:t>
            </w:r>
            <w:r w:rsidRPr="00621BF1">
              <w:rPr>
                <w:rFonts w:ascii="Gill Sans MT" w:hAnsi="Gill Sans MT"/>
                <w:sz w:val="22"/>
                <w:szCs w:val="22"/>
                <w:lang w:val="fr-FR"/>
              </w:rPr>
              <w:t>e sous-comités au sein du CCIA ;</w:t>
            </w:r>
          </w:p>
          <w:p w:rsidR="00AB42F4"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lastRenderedPageBreak/>
              <w:t>Insuffisance de mobilisation des ressources domestiques pour le PEV;</w:t>
            </w:r>
          </w:p>
          <w:p w:rsidR="00FD6B56" w:rsidRPr="00621BF1" w:rsidRDefault="00FD6B56"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absorption des ressources mise à disposition par les partenaires ;</w:t>
            </w:r>
          </w:p>
          <w:p w:rsidR="00FD6B56" w:rsidRPr="00621BF1" w:rsidRDefault="00FD6B56"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capacités du pool de gestion financière ;</w:t>
            </w:r>
          </w:p>
          <w:p w:rsidR="00AB42F4"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Absence de point focal spécifique pour le PEV au niveau district et région sanitaires ;</w:t>
            </w:r>
          </w:p>
          <w:p w:rsidR="00431B9D" w:rsidRPr="00621BF1" w:rsidRDefault="00AB42F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de formation des agents sur la gestion du PEV</w:t>
            </w:r>
            <w:r w:rsidR="001F5E08" w:rsidRPr="00621BF1">
              <w:rPr>
                <w:rFonts w:ascii="Gill Sans MT" w:hAnsi="Gill Sans MT"/>
                <w:sz w:val="22"/>
                <w:szCs w:val="22"/>
                <w:lang w:val="fr-FR"/>
              </w:rPr>
              <w:t> ;</w:t>
            </w:r>
          </w:p>
          <w:p w:rsidR="001F5E08" w:rsidRPr="00621BF1" w:rsidRDefault="001F5E08"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de formation des médecins chefs de district en Santé Publique, y compris la gestion du district ;</w:t>
            </w:r>
          </w:p>
          <w:p w:rsidR="001F5E08" w:rsidRPr="00621BF1" w:rsidRDefault="001F5E08"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Non validation et vulgarisation des Norme et Standards du PEV ; </w:t>
            </w:r>
          </w:p>
          <w:p w:rsidR="001F5E08" w:rsidRPr="00621BF1" w:rsidRDefault="001F5E08"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Non introduction du module du PEV dans le curriculum de formation dans les écoles de formation des agents de santé ;</w:t>
            </w:r>
          </w:p>
          <w:p w:rsidR="006110F5" w:rsidRPr="00621BF1" w:rsidRDefault="006110F5"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Absence d’un plan de Suivi et Evaluation du programme PEV ;</w:t>
            </w:r>
          </w:p>
          <w:p w:rsidR="006110F5" w:rsidRPr="00621BF1" w:rsidRDefault="002E2D65"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documentation des progrès réalisés dans le cadre de la vaccination ;</w:t>
            </w:r>
          </w:p>
          <w:p w:rsidR="002E2D65" w:rsidRPr="00621BF1" w:rsidRDefault="002E2D65"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Locaux inappropriés pour la coordination nationale du PEV, y compris les espaces de stock</w:t>
            </w:r>
            <w:r w:rsidR="00FD6B56" w:rsidRPr="00621BF1">
              <w:rPr>
                <w:rFonts w:ascii="Gill Sans MT" w:hAnsi="Gill Sans MT"/>
                <w:sz w:val="22"/>
                <w:szCs w:val="22"/>
                <w:lang w:val="fr-FR"/>
              </w:rPr>
              <w:t>age</w:t>
            </w:r>
            <w:r w:rsidRPr="00621BF1">
              <w:rPr>
                <w:rFonts w:ascii="Gill Sans MT" w:hAnsi="Gill Sans MT"/>
                <w:sz w:val="22"/>
                <w:szCs w:val="22"/>
                <w:lang w:val="fr-FR"/>
              </w:rPr>
              <w:t xml:space="preserve"> des vaccins et du </w:t>
            </w:r>
            <w:r w:rsidR="00FD6B56" w:rsidRPr="00621BF1">
              <w:rPr>
                <w:rFonts w:ascii="Gill Sans MT" w:hAnsi="Gill Sans MT"/>
                <w:sz w:val="22"/>
                <w:szCs w:val="22"/>
                <w:lang w:val="fr-FR"/>
              </w:rPr>
              <w:t>matériel</w:t>
            </w:r>
            <w:r w:rsidRPr="00621BF1">
              <w:rPr>
                <w:rFonts w:ascii="Gill Sans MT" w:hAnsi="Gill Sans MT"/>
                <w:sz w:val="22"/>
                <w:szCs w:val="22"/>
                <w:lang w:val="fr-FR"/>
              </w:rPr>
              <w:t xml:space="preserve"> de vaccination ;</w:t>
            </w:r>
          </w:p>
          <w:p w:rsidR="00FD6B56" w:rsidRPr="00621BF1" w:rsidRDefault="00FD6B56"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de la tenue des réunions trimestrielles, d’analyse et de retro-information ;</w:t>
            </w:r>
          </w:p>
          <w:p w:rsidR="00FD6B56" w:rsidRPr="00621BF1" w:rsidRDefault="00FD6B56"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de supervisions au niveau des régions et districts vers les Centres de santé.</w:t>
            </w:r>
          </w:p>
        </w:tc>
      </w:tr>
    </w:tbl>
    <w:p w:rsidR="00431B9D" w:rsidRPr="00621BF1" w:rsidRDefault="00431B9D" w:rsidP="004B1E69">
      <w:pPr>
        <w:pStyle w:val="Corpsdetexte"/>
        <w:spacing w:before="0"/>
        <w:ind w:left="360"/>
        <w:rPr>
          <w:rFonts w:ascii="Gill Sans MT" w:hAnsi="Gill Sans MT"/>
          <w:sz w:val="22"/>
          <w:szCs w:val="22"/>
        </w:rPr>
      </w:pPr>
    </w:p>
    <w:p w:rsidR="00431B9D" w:rsidRPr="00621BF1" w:rsidRDefault="00431B9D" w:rsidP="00FD6B56">
      <w:pPr>
        <w:pStyle w:val="Titre2"/>
      </w:pPr>
      <w:bookmarkStart w:id="143" w:name="_Toc452745784"/>
      <w:bookmarkStart w:id="144" w:name="_Toc452746516"/>
      <w:bookmarkStart w:id="145" w:name="_Toc452747535"/>
      <w:bookmarkStart w:id="146" w:name="_Toc458593659"/>
      <w:r w:rsidRPr="00621BF1">
        <w:t>OPPORTUNITES ET MENACES</w:t>
      </w:r>
      <w:bookmarkEnd w:id="143"/>
      <w:bookmarkEnd w:id="144"/>
      <w:bookmarkEnd w:id="145"/>
      <w:bookmarkEnd w:id="146"/>
    </w:p>
    <w:p w:rsidR="00431B9D" w:rsidRPr="00621BF1" w:rsidRDefault="00431B9D" w:rsidP="004B1E69">
      <w:pPr>
        <w:pStyle w:val="Corpsdetexte"/>
        <w:spacing w:before="0"/>
        <w:rPr>
          <w:rFonts w:ascii="Gill Sans MT" w:hAnsi="Gill Sans MT"/>
          <w:sz w:val="22"/>
          <w:szCs w:val="22"/>
        </w:rPr>
      </w:pPr>
      <w:bookmarkStart w:id="147" w:name="_Toc456109489"/>
      <w:r w:rsidRPr="00621BF1">
        <w:rPr>
          <w:rFonts w:ascii="Gill Sans MT" w:hAnsi="Gill Sans MT"/>
          <w:sz w:val="22"/>
          <w:szCs w:val="22"/>
        </w:rPr>
        <w:t xml:space="preserve">Tableau </w:t>
      </w:r>
      <w:r w:rsidR="00B51B2E" w:rsidRPr="00621BF1">
        <w:rPr>
          <w:rFonts w:ascii="Gill Sans MT" w:hAnsi="Gill Sans MT"/>
          <w:sz w:val="22"/>
          <w:szCs w:val="22"/>
        </w:rPr>
        <w:fldChar w:fldCharType="begin"/>
      </w:r>
      <w:r w:rsidRPr="00621BF1">
        <w:rPr>
          <w:rFonts w:ascii="Gill Sans MT" w:hAnsi="Gill Sans MT"/>
          <w:sz w:val="22"/>
          <w:szCs w:val="22"/>
        </w:rPr>
        <w:instrText xml:space="preserve"> SEQ Tableau \* ARABIC </w:instrText>
      </w:r>
      <w:r w:rsidR="00B51B2E" w:rsidRPr="00621BF1">
        <w:rPr>
          <w:rFonts w:ascii="Gill Sans MT" w:hAnsi="Gill Sans MT"/>
          <w:sz w:val="22"/>
          <w:szCs w:val="22"/>
        </w:rPr>
        <w:fldChar w:fldCharType="separate"/>
      </w:r>
      <w:r w:rsidR="00DC4EEF">
        <w:rPr>
          <w:rFonts w:ascii="Gill Sans MT" w:hAnsi="Gill Sans MT"/>
          <w:noProof/>
          <w:sz w:val="22"/>
          <w:szCs w:val="22"/>
        </w:rPr>
        <w:t>23</w:t>
      </w:r>
      <w:r w:rsidR="00B51B2E" w:rsidRPr="00621BF1">
        <w:rPr>
          <w:rFonts w:ascii="Gill Sans MT" w:hAnsi="Gill Sans MT"/>
          <w:sz w:val="22"/>
          <w:szCs w:val="22"/>
        </w:rPr>
        <w:fldChar w:fldCharType="end"/>
      </w:r>
      <w:r w:rsidRPr="00621BF1">
        <w:rPr>
          <w:rFonts w:ascii="Gill Sans MT" w:hAnsi="Gill Sans MT"/>
          <w:sz w:val="22"/>
          <w:szCs w:val="22"/>
        </w:rPr>
        <w:t>: Analyse des opportunités et menaces</w:t>
      </w:r>
      <w:bookmarkEnd w:id="147"/>
    </w:p>
    <w:tbl>
      <w:tblPr>
        <w:tblStyle w:val="Grilledutableau"/>
        <w:tblW w:w="5000" w:type="pct"/>
        <w:tblLayout w:type="fixed"/>
        <w:tblLook w:val="04A0" w:firstRow="1" w:lastRow="0" w:firstColumn="1" w:lastColumn="0" w:noHBand="0" w:noVBand="1"/>
      </w:tblPr>
      <w:tblGrid>
        <w:gridCol w:w="2282"/>
        <w:gridCol w:w="6131"/>
        <w:gridCol w:w="5483"/>
      </w:tblGrid>
      <w:tr w:rsidR="00FD6B56" w:rsidRPr="00621BF1" w:rsidTr="005E1C04">
        <w:trPr>
          <w:trHeight w:val="417"/>
          <w:tblHeader/>
        </w:trPr>
        <w:tc>
          <w:tcPr>
            <w:tcW w:w="821" w:type="pct"/>
            <w:shd w:val="clear" w:color="auto" w:fill="C45911" w:themeFill="accent2" w:themeFillShade="BF"/>
          </w:tcPr>
          <w:p w:rsidR="00431B9D" w:rsidRPr="00621BF1" w:rsidRDefault="00431B9D" w:rsidP="00FD6B56">
            <w:pPr>
              <w:pStyle w:val="Corpsdetexte"/>
              <w:spacing w:before="0"/>
              <w:ind w:left="360"/>
              <w:rPr>
                <w:rFonts w:ascii="Gill Sans MT" w:hAnsi="Gill Sans MT"/>
                <w:b/>
                <w:color w:val="FFFFFF" w:themeColor="background1"/>
                <w:sz w:val="22"/>
                <w:szCs w:val="22"/>
              </w:rPr>
            </w:pPr>
            <w:r w:rsidRPr="00621BF1">
              <w:rPr>
                <w:rFonts w:ascii="Gill Sans MT" w:hAnsi="Gill Sans MT"/>
                <w:b/>
                <w:color w:val="FFFFFF" w:themeColor="background1"/>
                <w:sz w:val="22"/>
                <w:szCs w:val="22"/>
              </w:rPr>
              <w:t>NIVEAUX</w:t>
            </w:r>
          </w:p>
        </w:tc>
        <w:tc>
          <w:tcPr>
            <w:tcW w:w="2206" w:type="pct"/>
            <w:shd w:val="clear" w:color="auto" w:fill="C45911" w:themeFill="accent2" w:themeFillShade="BF"/>
          </w:tcPr>
          <w:p w:rsidR="00431B9D" w:rsidRPr="00621BF1" w:rsidRDefault="00431B9D" w:rsidP="00FD6B56">
            <w:pPr>
              <w:pStyle w:val="Corpsdetexte"/>
              <w:spacing w:before="0"/>
              <w:ind w:left="360"/>
              <w:rPr>
                <w:rFonts w:ascii="Gill Sans MT" w:hAnsi="Gill Sans MT"/>
                <w:b/>
                <w:color w:val="FFFFFF" w:themeColor="background1"/>
                <w:sz w:val="22"/>
                <w:szCs w:val="22"/>
              </w:rPr>
            </w:pPr>
            <w:r w:rsidRPr="00621BF1">
              <w:rPr>
                <w:rFonts w:ascii="Gill Sans MT" w:hAnsi="Gill Sans MT"/>
                <w:b/>
                <w:color w:val="FFFFFF" w:themeColor="background1"/>
                <w:sz w:val="22"/>
                <w:szCs w:val="22"/>
              </w:rPr>
              <w:t>OPPORTUNITES</w:t>
            </w:r>
          </w:p>
        </w:tc>
        <w:tc>
          <w:tcPr>
            <w:tcW w:w="1973" w:type="pct"/>
            <w:shd w:val="clear" w:color="auto" w:fill="C45911" w:themeFill="accent2" w:themeFillShade="BF"/>
          </w:tcPr>
          <w:p w:rsidR="00431B9D" w:rsidRPr="00621BF1" w:rsidRDefault="00431B9D" w:rsidP="00FD6B56">
            <w:pPr>
              <w:pStyle w:val="Corpsdetexte"/>
              <w:spacing w:before="0"/>
              <w:ind w:left="360"/>
              <w:rPr>
                <w:rFonts w:ascii="Gill Sans MT" w:hAnsi="Gill Sans MT"/>
                <w:b/>
                <w:color w:val="FFFFFF" w:themeColor="background1"/>
                <w:sz w:val="22"/>
                <w:szCs w:val="22"/>
              </w:rPr>
            </w:pPr>
            <w:r w:rsidRPr="00621BF1">
              <w:rPr>
                <w:rFonts w:ascii="Gill Sans MT" w:hAnsi="Gill Sans MT"/>
                <w:b/>
                <w:color w:val="FFFFFF" w:themeColor="background1"/>
                <w:sz w:val="22"/>
                <w:szCs w:val="22"/>
              </w:rPr>
              <w:t>MENACES</w:t>
            </w:r>
          </w:p>
        </w:tc>
      </w:tr>
      <w:tr w:rsidR="00431B9D" w:rsidRPr="00621BF1" w:rsidTr="005E1C04">
        <w:tc>
          <w:tcPr>
            <w:tcW w:w="821" w:type="pct"/>
          </w:tcPr>
          <w:p w:rsidR="00431B9D" w:rsidRPr="00621BF1" w:rsidRDefault="00431B9D" w:rsidP="00FD6B56">
            <w:pPr>
              <w:pStyle w:val="Corpsdetexte"/>
              <w:spacing w:before="0"/>
              <w:jc w:val="center"/>
              <w:rPr>
                <w:rFonts w:ascii="Gill Sans MT" w:hAnsi="Gill Sans MT"/>
                <w:b/>
                <w:sz w:val="22"/>
                <w:szCs w:val="22"/>
              </w:rPr>
            </w:pPr>
          </w:p>
          <w:p w:rsidR="00431B9D" w:rsidRPr="00621BF1" w:rsidRDefault="00431B9D" w:rsidP="00FD6B56">
            <w:pPr>
              <w:pStyle w:val="Corpsdetexte"/>
              <w:spacing w:before="0"/>
              <w:jc w:val="center"/>
              <w:rPr>
                <w:rFonts w:ascii="Gill Sans MT" w:hAnsi="Gill Sans MT"/>
                <w:b/>
                <w:sz w:val="22"/>
                <w:szCs w:val="22"/>
              </w:rPr>
            </w:pPr>
          </w:p>
          <w:p w:rsidR="00431B9D" w:rsidRPr="00621BF1" w:rsidRDefault="00431B9D" w:rsidP="00FD6B56">
            <w:pPr>
              <w:pStyle w:val="Corpsdetexte"/>
              <w:spacing w:before="0"/>
              <w:jc w:val="center"/>
              <w:rPr>
                <w:rFonts w:ascii="Gill Sans MT" w:hAnsi="Gill Sans MT"/>
                <w:b/>
                <w:sz w:val="22"/>
                <w:szCs w:val="22"/>
              </w:rPr>
            </w:pPr>
          </w:p>
          <w:p w:rsidR="00431B9D" w:rsidRPr="00621BF1" w:rsidRDefault="00431B9D" w:rsidP="00FD6B56">
            <w:pPr>
              <w:pStyle w:val="Corpsdetexte"/>
              <w:spacing w:before="0"/>
              <w:jc w:val="center"/>
              <w:rPr>
                <w:rFonts w:ascii="Gill Sans MT" w:hAnsi="Gill Sans MT"/>
                <w:b/>
                <w:sz w:val="22"/>
                <w:szCs w:val="22"/>
              </w:rPr>
            </w:pPr>
          </w:p>
          <w:p w:rsidR="00431B9D" w:rsidRPr="00621BF1" w:rsidRDefault="00431B9D" w:rsidP="00FD6B56">
            <w:pPr>
              <w:pStyle w:val="Corpsdetexte"/>
              <w:spacing w:before="0"/>
              <w:jc w:val="center"/>
              <w:rPr>
                <w:rFonts w:ascii="Gill Sans MT" w:hAnsi="Gill Sans MT"/>
                <w:b/>
                <w:sz w:val="22"/>
                <w:szCs w:val="22"/>
              </w:rPr>
            </w:pPr>
          </w:p>
          <w:p w:rsidR="00431B9D" w:rsidRPr="00621BF1" w:rsidRDefault="00431B9D" w:rsidP="00FD6B56">
            <w:pPr>
              <w:pStyle w:val="Corpsdetexte"/>
              <w:spacing w:before="0"/>
              <w:jc w:val="center"/>
              <w:rPr>
                <w:rFonts w:ascii="Gill Sans MT" w:hAnsi="Gill Sans MT"/>
                <w:b/>
                <w:sz w:val="22"/>
                <w:szCs w:val="22"/>
              </w:rPr>
            </w:pPr>
          </w:p>
          <w:p w:rsidR="00431B9D" w:rsidRPr="00621BF1" w:rsidRDefault="00431B9D" w:rsidP="00FD6B56">
            <w:pPr>
              <w:pStyle w:val="Corpsdetexte"/>
              <w:spacing w:before="0"/>
              <w:jc w:val="center"/>
              <w:rPr>
                <w:rFonts w:ascii="Gill Sans MT" w:hAnsi="Gill Sans MT"/>
                <w:b/>
                <w:sz w:val="22"/>
                <w:szCs w:val="22"/>
              </w:rPr>
            </w:pPr>
          </w:p>
          <w:p w:rsidR="00431B9D" w:rsidRPr="00621BF1" w:rsidRDefault="00431B9D" w:rsidP="00FD6B56">
            <w:pPr>
              <w:pStyle w:val="Corpsdetexte"/>
              <w:spacing w:before="0"/>
              <w:jc w:val="center"/>
              <w:rPr>
                <w:rFonts w:ascii="Gill Sans MT" w:hAnsi="Gill Sans MT"/>
                <w:b/>
                <w:sz w:val="22"/>
                <w:szCs w:val="22"/>
              </w:rPr>
            </w:pPr>
          </w:p>
          <w:p w:rsidR="00431B9D" w:rsidRPr="00621BF1" w:rsidRDefault="00431B9D" w:rsidP="00FD6B56">
            <w:pPr>
              <w:pStyle w:val="Corpsdetexte"/>
              <w:spacing w:before="0"/>
              <w:jc w:val="center"/>
              <w:rPr>
                <w:rFonts w:ascii="Gill Sans MT" w:hAnsi="Gill Sans MT"/>
                <w:sz w:val="22"/>
                <w:szCs w:val="22"/>
              </w:rPr>
            </w:pPr>
            <w:r w:rsidRPr="00621BF1">
              <w:rPr>
                <w:rFonts w:ascii="Gill Sans MT" w:hAnsi="Gill Sans MT"/>
                <w:b/>
                <w:sz w:val="22"/>
                <w:szCs w:val="22"/>
              </w:rPr>
              <w:t>NATIONAL</w:t>
            </w:r>
          </w:p>
        </w:tc>
        <w:tc>
          <w:tcPr>
            <w:tcW w:w="2206" w:type="pct"/>
          </w:tcPr>
          <w:p w:rsidR="00FD6B56" w:rsidRPr="00621BF1" w:rsidRDefault="00FD6B56" w:rsidP="00FD6B56">
            <w:pPr>
              <w:pStyle w:val="Corpsdetexte"/>
              <w:spacing w:before="0"/>
              <w:ind w:left="360"/>
              <w:rPr>
                <w:rFonts w:ascii="Gill Sans MT" w:hAnsi="Gill Sans MT"/>
                <w:sz w:val="18"/>
                <w:szCs w:val="22"/>
              </w:rPr>
            </w:pP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Engagement politique constant du Gouvernement et la forte implication des communautés dans la prise en charge de certaines dépenses de santé ;</w:t>
            </w:r>
          </w:p>
          <w:p w:rsidR="00FD6B56" w:rsidRPr="00621BF1" w:rsidRDefault="00FD6B56"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Fort engagement du parlement guinéen en faveur de la sante général et de la vaccination en particulier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Reforme amorcée du système de recouvrement des coûts et de l’approvisionnement en Médicaments Essentiels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Mise en place d’un Fonds de Garantie pour l’achat des vaccins et matériels de vaccination dans le cadre de l’initiative de l’indépendance vaccinale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d’un consortium des ONG</w:t>
            </w:r>
            <w:r w:rsidR="00FD6B56" w:rsidRPr="00621BF1">
              <w:rPr>
                <w:rFonts w:ascii="Gill Sans MT" w:hAnsi="Gill Sans MT"/>
                <w:sz w:val="22"/>
                <w:szCs w:val="22"/>
                <w:lang w:val="fr-FR"/>
              </w:rPr>
              <w:t>/associations</w:t>
            </w:r>
            <w:r w:rsidRPr="00621BF1">
              <w:rPr>
                <w:rFonts w:ascii="Gill Sans MT" w:hAnsi="Gill Sans MT"/>
                <w:sz w:val="22"/>
                <w:szCs w:val="22"/>
                <w:lang w:val="fr-FR"/>
              </w:rPr>
              <w:t xml:space="preserve"> qui appui</w:t>
            </w:r>
            <w:r w:rsidR="00FD6B56" w:rsidRPr="00621BF1">
              <w:rPr>
                <w:rFonts w:ascii="Gill Sans MT" w:hAnsi="Gill Sans MT"/>
                <w:sz w:val="22"/>
                <w:szCs w:val="22"/>
                <w:lang w:val="fr-FR"/>
              </w:rPr>
              <w:t>ent</w:t>
            </w:r>
            <w:r w:rsidRPr="00621BF1">
              <w:rPr>
                <w:rFonts w:ascii="Gill Sans MT" w:hAnsi="Gill Sans MT"/>
                <w:sz w:val="22"/>
                <w:szCs w:val="22"/>
                <w:lang w:val="fr-FR"/>
              </w:rPr>
              <w:t xml:space="preserve"> la vaccination</w:t>
            </w:r>
            <w:r w:rsidR="00FD6B56" w:rsidRPr="00621BF1">
              <w:rPr>
                <w:rFonts w:ascii="Gill Sans MT" w:hAnsi="Gill Sans MT"/>
                <w:sz w:val="22"/>
                <w:szCs w:val="22"/>
                <w:lang w:val="fr-FR"/>
              </w:rPr>
              <w:t>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Multiplicité de structures de médias (radios rurales dans tous les districts, plusieurs radios privées qui sont décentralisées, télévisions privées…)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 xml:space="preserve">Accord tripartite entre PEV, UNICEF et la </w:t>
            </w:r>
            <w:proofErr w:type="spellStart"/>
            <w:r w:rsidRPr="00621BF1">
              <w:rPr>
                <w:rFonts w:ascii="Gill Sans MT" w:hAnsi="Gill Sans MT"/>
                <w:sz w:val="22"/>
                <w:szCs w:val="22"/>
                <w:lang w:val="fr-FR"/>
              </w:rPr>
              <w:t>POSSaV</w:t>
            </w:r>
            <w:proofErr w:type="spellEnd"/>
            <w:r w:rsidRPr="00621BF1">
              <w:rPr>
                <w:rFonts w:ascii="Gill Sans MT" w:hAnsi="Gill Sans MT"/>
                <w:sz w:val="22"/>
                <w:szCs w:val="22"/>
                <w:lang w:val="fr-FR"/>
              </w:rPr>
              <w:t xml:space="preserve"> pour la mobilisation sociale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Atteinte du point d’achèvement PPTE ;</w:t>
            </w:r>
          </w:p>
          <w:p w:rsidR="00431B9D" w:rsidRPr="00621BF1" w:rsidRDefault="005E1C04" w:rsidP="0015288B">
            <w:pPr>
              <w:pStyle w:val="Corpsdetexte"/>
              <w:numPr>
                <w:ilvl w:val="0"/>
                <w:numId w:val="10"/>
              </w:numPr>
              <w:spacing w:before="0"/>
              <w:rPr>
                <w:rFonts w:ascii="Gill Sans MT" w:hAnsi="Gill Sans MT"/>
                <w:sz w:val="22"/>
                <w:szCs w:val="22"/>
              </w:rPr>
            </w:pPr>
            <w:r w:rsidRPr="00621BF1">
              <w:rPr>
                <w:rFonts w:ascii="Gill Sans MT" w:hAnsi="Gill Sans MT"/>
                <w:sz w:val="22"/>
                <w:szCs w:val="22"/>
              </w:rPr>
              <w:t>Existence du D</w:t>
            </w:r>
            <w:r w:rsidR="00431B9D" w:rsidRPr="00621BF1">
              <w:rPr>
                <w:rFonts w:ascii="Gill Sans MT" w:hAnsi="Gill Sans MT"/>
                <w:sz w:val="22"/>
                <w:szCs w:val="22"/>
              </w:rPr>
              <w:t>S</w:t>
            </w:r>
            <w:r w:rsidRPr="00621BF1">
              <w:rPr>
                <w:rFonts w:ascii="Gill Sans MT" w:hAnsi="Gill Sans MT"/>
                <w:sz w:val="22"/>
                <w:szCs w:val="22"/>
              </w:rPr>
              <w:t>R</w:t>
            </w:r>
            <w:r w:rsidR="00431B9D" w:rsidRPr="00621BF1">
              <w:rPr>
                <w:rFonts w:ascii="Gill Sans MT" w:hAnsi="Gill Sans MT"/>
                <w:sz w:val="22"/>
                <w:szCs w:val="22"/>
              </w:rPr>
              <w:t>P</w:t>
            </w:r>
            <w:r w:rsidRPr="00621BF1">
              <w:rPr>
                <w:rFonts w:ascii="Gill Sans MT" w:hAnsi="Gill Sans MT"/>
                <w:sz w:val="22"/>
                <w:szCs w:val="22"/>
              </w:rPr>
              <w:t>.</w:t>
            </w:r>
          </w:p>
          <w:p w:rsidR="00FD6B56" w:rsidRPr="00621BF1" w:rsidRDefault="00FD6B56" w:rsidP="00FD6B56">
            <w:pPr>
              <w:pStyle w:val="Corpsdetexte"/>
              <w:spacing w:before="0"/>
              <w:ind w:left="360"/>
              <w:rPr>
                <w:rFonts w:ascii="Gill Sans MT" w:hAnsi="Gill Sans MT"/>
                <w:sz w:val="22"/>
                <w:szCs w:val="22"/>
              </w:rPr>
            </w:pPr>
          </w:p>
        </w:tc>
        <w:tc>
          <w:tcPr>
            <w:tcW w:w="1973" w:type="pct"/>
          </w:tcPr>
          <w:p w:rsidR="00FD6B56" w:rsidRPr="00621BF1" w:rsidRDefault="00FD6B56" w:rsidP="00FD6B56">
            <w:pPr>
              <w:pStyle w:val="Corpsdetexte"/>
              <w:spacing w:before="0"/>
              <w:ind w:left="360"/>
              <w:rPr>
                <w:rFonts w:ascii="Gill Sans MT" w:hAnsi="Gill Sans MT"/>
                <w:sz w:val="16"/>
                <w:szCs w:val="22"/>
              </w:rPr>
            </w:pP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Insuffisance du paiement de la contrepartie de financement des vaccins de routine par  l’Etat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Impact global de la maladie à virus Ebola </w:t>
            </w:r>
            <w:r w:rsidR="005E1C04" w:rsidRPr="00621BF1">
              <w:rPr>
                <w:rFonts w:ascii="Gill Sans MT" w:hAnsi="Gill Sans MT"/>
                <w:sz w:val="22"/>
                <w:szCs w:val="22"/>
                <w:lang w:val="fr-FR"/>
              </w:rPr>
              <w:t>sur le système de santé, y compris la vaccination</w:t>
            </w:r>
            <w:r w:rsidRPr="00621BF1">
              <w:rPr>
                <w:rFonts w:ascii="Gill Sans MT" w:hAnsi="Gill Sans MT"/>
                <w:sz w:val="22"/>
                <w:szCs w:val="22"/>
                <w:lang w:val="fr-FR"/>
              </w:rPr>
              <w:t>;</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Considérations socioculturelles défavorables vis-à-vis de la vaccination dans certaines zones</w:t>
            </w:r>
            <w:r w:rsidR="005E1C04" w:rsidRPr="00621BF1">
              <w:rPr>
                <w:rFonts w:ascii="Gill Sans MT" w:hAnsi="Gill Sans MT"/>
                <w:sz w:val="22"/>
                <w:szCs w:val="22"/>
                <w:lang w:val="fr-FR"/>
              </w:rPr>
              <w:t> ;</w:t>
            </w:r>
          </w:p>
          <w:p w:rsidR="00431B9D" w:rsidRPr="00621BF1" w:rsidRDefault="005E1C04" w:rsidP="0015288B">
            <w:pPr>
              <w:pStyle w:val="Corpsdetexte"/>
              <w:numPr>
                <w:ilvl w:val="0"/>
                <w:numId w:val="10"/>
              </w:numPr>
              <w:spacing w:before="0"/>
              <w:rPr>
                <w:rFonts w:ascii="Gill Sans MT" w:hAnsi="Gill Sans MT"/>
                <w:sz w:val="22"/>
                <w:szCs w:val="22"/>
              </w:rPr>
            </w:pPr>
            <w:r w:rsidRPr="00621BF1">
              <w:rPr>
                <w:rFonts w:ascii="Gill Sans MT" w:hAnsi="Gill Sans MT"/>
                <w:sz w:val="22"/>
                <w:szCs w:val="22"/>
              </w:rPr>
              <w:t xml:space="preserve">Troubles </w:t>
            </w:r>
            <w:proofErr w:type="spellStart"/>
            <w:r w:rsidRPr="00621BF1">
              <w:rPr>
                <w:rFonts w:ascii="Gill Sans MT" w:hAnsi="Gill Sans MT"/>
                <w:sz w:val="22"/>
                <w:szCs w:val="22"/>
              </w:rPr>
              <w:t>sociopolitiques</w:t>
            </w:r>
            <w:proofErr w:type="spellEnd"/>
            <w:r w:rsidRPr="00621BF1">
              <w:rPr>
                <w:rFonts w:ascii="Gill Sans MT" w:hAnsi="Gill Sans MT"/>
                <w:sz w:val="22"/>
                <w:szCs w:val="22"/>
              </w:rPr>
              <w:t>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Impact de la flambée du prix du pétrole, sa disponibilité et sa  mauvaise qualité  pour les activités opérationnelles</w:t>
            </w:r>
            <w:r w:rsidR="005E1C04" w:rsidRPr="00621BF1">
              <w:rPr>
                <w:rFonts w:ascii="Gill Sans MT" w:hAnsi="Gill Sans MT"/>
                <w:sz w:val="22"/>
                <w:szCs w:val="22"/>
                <w:lang w:val="fr-FR"/>
              </w:rPr>
              <w:t> ;</w:t>
            </w:r>
            <w:r w:rsidRPr="00621BF1">
              <w:rPr>
                <w:rFonts w:ascii="Gill Sans MT" w:hAnsi="Gill Sans MT"/>
                <w:sz w:val="22"/>
                <w:szCs w:val="22"/>
                <w:lang w:val="fr-FR"/>
              </w:rPr>
              <w:t>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Faible couverture en électricité et coupures intempestives </w:t>
            </w:r>
          </w:p>
          <w:p w:rsidR="00431B9D" w:rsidRPr="00621BF1" w:rsidRDefault="00431B9D" w:rsidP="0015288B">
            <w:pPr>
              <w:pStyle w:val="Corpsdetexte"/>
              <w:numPr>
                <w:ilvl w:val="0"/>
                <w:numId w:val="10"/>
              </w:numPr>
              <w:spacing w:before="0"/>
              <w:rPr>
                <w:rFonts w:ascii="Gill Sans MT" w:hAnsi="Gill Sans MT"/>
                <w:sz w:val="22"/>
                <w:szCs w:val="22"/>
              </w:rPr>
            </w:pPr>
            <w:proofErr w:type="spellStart"/>
            <w:r w:rsidRPr="00621BF1">
              <w:rPr>
                <w:rFonts w:ascii="Gill Sans MT" w:hAnsi="Gill Sans MT"/>
                <w:sz w:val="22"/>
                <w:szCs w:val="22"/>
              </w:rPr>
              <w:t>Mauvais</w:t>
            </w:r>
            <w:proofErr w:type="spellEnd"/>
            <w:r w:rsidRPr="00621BF1">
              <w:rPr>
                <w:rFonts w:ascii="Gill Sans MT" w:hAnsi="Gill Sans MT"/>
                <w:sz w:val="22"/>
                <w:szCs w:val="22"/>
              </w:rPr>
              <w:t xml:space="preserve"> </w:t>
            </w:r>
            <w:proofErr w:type="spellStart"/>
            <w:r w:rsidRPr="00621BF1">
              <w:rPr>
                <w:rFonts w:ascii="Gill Sans MT" w:hAnsi="Gill Sans MT"/>
                <w:sz w:val="22"/>
                <w:szCs w:val="22"/>
              </w:rPr>
              <w:t>état</w:t>
            </w:r>
            <w:proofErr w:type="spellEnd"/>
            <w:r w:rsidRPr="00621BF1">
              <w:rPr>
                <w:rFonts w:ascii="Gill Sans MT" w:hAnsi="Gill Sans MT"/>
                <w:sz w:val="22"/>
                <w:szCs w:val="22"/>
              </w:rPr>
              <w:t xml:space="preserve"> de routes</w:t>
            </w:r>
            <w:r w:rsidR="005E1C04" w:rsidRPr="00621BF1">
              <w:rPr>
                <w:rFonts w:ascii="Gill Sans MT" w:hAnsi="Gill Sans MT"/>
                <w:sz w:val="22"/>
                <w:szCs w:val="22"/>
              </w:rPr>
              <w:t> ;</w:t>
            </w:r>
            <w:r w:rsidRPr="00621BF1">
              <w:rPr>
                <w:rFonts w:ascii="Gill Sans MT" w:hAnsi="Gill Sans MT"/>
                <w:sz w:val="22"/>
                <w:szCs w:val="22"/>
              </w:rPr>
              <w:t> </w:t>
            </w:r>
          </w:p>
          <w:p w:rsidR="00431B9D" w:rsidRPr="00621BF1" w:rsidRDefault="00431B9D" w:rsidP="0015288B">
            <w:pPr>
              <w:pStyle w:val="Corpsdetexte"/>
              <w:numPr>
                <w:ilvl w:val="0"/>
                <w:numId w:val="10"/>
              </w:numPr>
              <w:spacing w:before="0"/>
              <w:rPr>
                <w:rFonts w:ascii="Gill Sans MT" w:hAnsi="Gill Sans MT"/>
                <w:sz w:val="22"/>
                <w:szCs w:val="22"/>
                <w:lang w:val="fr-FR"/>
              </w:rPr>
            </w:pPr>
            <w:proofErr w:type="spellStart"/>
            <w:r w:rsidRPr="00621BF1">
              <w:rPr>
                <w:rFonts w:ascii="Gill Sans MT" w:hAnsi="Gill Sans MT"/>
                <w:sz w:val="22"/>
                <w:szCs w:val="22"/>
                <w:lang w:val="fr-FR"/>
              </w:rPr>
              <w:t>Resurgescence</w:t>
            </w:r>
            <w:proofErr w:type="spellEnd"/>
            <w:r w:rsidRPr="00621BF1">
              <w:rPr>
                <w:rFonts w:ascii="Gill Sans MT" w:hAnsi="Gill Sans MT"/>
                <w:sz w:val="22"/>
                <w:szCs w:val="22"/>
                <w:lang w:val="fr-FR"/>
              </w:rPr>
              <w:t xml:space="preserve"> des épidémies de Polio </w:t>
            </w:r>
            <w:r w:rsidR="005E1C04" w:rsidRPr="00621BF1">
              <w:rPr>
                <w:rFonts w:ascii="Gill Sans MT" w:hAnsi="Gill Sans MT"/>
                <w:sz w:val="22"/>
                <w:szCs w:val="22"/>
                <w:lang w:val="fr-FR"/>
              </w:rPr>
              <w:t xml:space="preserve">de dérivée vaccinale Type 2 </w:t>
            </w:r>
            <w:r w:rsidRPr="00621BF1">
              <w:rPr>
                <w:rFonts w:ascii="Gill Sans MT" w:hAnsi="Gill Sans MT"/>
                <w:sz w:val="22"/>
                <w:szCs w:val="22"/>
                <w:lang w:val="fr-FR"/>
              </w:rPr>
              <w:t>et autres maladies évitables par la vaccination</w:t>
            </w:r>
            <w:r w:rsidR="005E1C04" w:rsidRPr="00621BF1">
              <w:rPr>
                <w:rFonts w:ascii="Gill Sans MT" w:hAnsi="Gill Sans MT"/>
                <w:sz w:val="22"/>
                <w:szCs w:val="22"/>
                <w:lang w:val="fr-FR"/>
              </w:rPr>
              <w:t xml:space="preserve"> (rougeole, Coqueluche)</w:t>
            </w:r>
            <w:r w:rsidRPr="00621BF1">
              <w:rPr>
                <w:rFonts w:ascii="Gill Sans MT" w:hAnsi="Gill Sans MT"/>
                <w:sz w:val="22"/>
                <w:szCs w:val="22"/>
                <w:lang w:val="fr-FR"/>
              </w:rPr>
              <w:t>.</w:t>
            </w:r>
          </w:p>
        </w:tc>
      </w:tr>
      <w:tr w:rsidR="00431B9D" w:rsidRPr="00621BF1" w:rsidTr="005E1C04">
        <w:trPr>
          <w:trHeight w:val="2226"/>
        </w:trPr>
        <w:tc>
          <w:tcPr>
            <w:tcW w:w="821" w:type="pct"/>
          </w:tcPr>
          <w:p w:rsidR="00431B9D" w:rsidRPr="00621BF1" w:rsidRDefault="00431B9D" w:rsidP="00FD6B56">
            <w:pPr>
              <w:pStyle w:val="Corpsdetexte"/>
              <w:spacing w:before="0"/>
              <w:ind w:left="360"/>
              <w:rPr>
                <w:rFonts w:ascii="Gill Sans MT" w:hAnsi="Gill Sans MT"/>
                <w:sz w:val="22"/>
                <w:szCs w:val="22"/>
                <w:lang w:val="fr-FR"/>
              </w:rPr>
            </w:pPr>
          </w:p>
          <w:p w:rsidR="00431B9D" w:rsidRPr="00621BF1" w:rsidRDefault="00431B9D" w:rsidP="00FD6B56">
            <w:pPr>
              <w:pStyle w:val="Corpsdetexte"/>
              <w:spacing w:before="0"/>
              <w:rPr>
                <w:rFonts w:ascii="Gill Sans MT" w:hAnsi="Gill Sans MT"/>
                <w:sz w:val="22"/>
                <w:szCs w:val="22"/>
                <w:lang w:val="fr-FR"/>
              </w:rPr>
            </w:pPr>
          </w:p>
          <w:p w:rsidR="00431B9D" w:rsidRPr="00621BF1" w:rsidRDefault="00431B9D" w:rsidP="00FD6B56">
            <w:pPr>
              <w:pStyle w:val="Corpsdetexte"/>
              <w:spacing w:before="0"/>
              <w:rPr>
                <w:rFonts w:ascii="Gill Sans MT" w:hAnsi="Gill Sans MT"/>
                <w:sz w:val="22"/>
                <w:szCs w:val="22"/>
                <w:lang w:val="fr-FR"/>
              </w:rPr>
            </w:pPr>
          </w:p>
          <w:p w:rsidR="00431B9D" w:rsidRPr="00621BF1" w:rsidRDefault="00431B9D" w:rsidP="00FD6B56">
            <w:pPr>
              <w:pStyle w:val="Corpsdetexte"/>
              <w:spacing w:before="0"/>
              <w:rPr>
                <w:rFonts w:ascii="Gill Sans MT" w:hAnsi="Gill Sans MT"/>
                <w:sz w:val="22"/>
                <w:szCs w:val="22"/>
                <w:lang w:val="fr-FR"/>
              </w:rPr>
            </w:pPr>
          </w:p>
          <w:p w:rsidR="00431B9D" w:rsidRPr="00621BF1" w:rsidRDefault="00431B9D" w:rsidP="00FD6B56">
            <w:pPr>
              <w:pStyle w:val="Corpsdetexte"/>
              <w:spacing w:before="0"/>
              <w:rPr>
                <w:rFonts w:ascii="Gill Sans MT" w:hAnsi="Gill Sans MT"/>
                <w:sz w:val="22"/>
                <w:szCs w:val="22"/>
                <w:lang w:val="fr-FR"/>
              </w:rPr>
            </w:pPr>
          </w:p>
          <w:p w:rsidR="00431B9D" w:rsidRPr="00621BF1" w:rsidRDefault="00431B9D" w:rsidP="00FD6B56">
            <w:pPr>
              <w:pStyle w:val="Corpsdetexte"/>
              <w:spacing w:before="0"/>
              <w:jc w:val="center"/>
              <w:rPr>
                <w:rFonts w:ascii="Gill Sans MT" w:hAnsi="Gill Sans MT"/>
                <w:b/>
                <w:sz w:val="22"/>
                <w:szCs w:val="22"/>
              </w:rPr>
            </w:pPr>
            <w:r w:rsidRPr="00621BF1">
              <w:rPr>
                <w:rFonts w:ascii="Gill Sans MT" w:hAnsi="Gill Sans MT"/>
                <w:b/>
                <w:sz w:val="22"/>
                <w:szCs w:val="22"/>
              </w:rPr>
              <w:t>INTERNATIONAL</w:t>
            </w:r>
          </w:p>
        </w:tc>
        <w:tc>
          <w:tcPr>
            <w:tcW w:w="2206" w:type="pct"/>
          </w:tcPr>
          <w:p w:rsidR="00FD6B56" w:rsidRPr="00621BF1" w:rsidRDefault="00FD6B56" w:rsidP="00FD6B56">
            <w:pPr>
              <w:pStyle w:val="Corpsdetexte"/>
              <w:spacing w:before="0"/>
              <w:ind w:left="360"/>
              <w:rPr>
                <w:rFonts w:ascii="Gill Sans MT" w:hAnsi="Gill Sans MT"/>
                <w:sz w:val="10"/>
                <w:szCs w:val="22"/>
              </w:rPr>
            </w:pP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du programme de renforcement des services de santé (RSS/GAVI) ;</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Adoption de la Nouvelle Vision Stratégique Mondiale</w:t>
            </w:r>
            <w:r w:rsidR="005E1C04" w:rsidRPr="00621BF1">
              <w:rPr>
                <w:rFonts w:ascii="Gill Sans MT" w:hAnsi="Gill Sans MT"/>
                <w:sz w:val="22"/>
                <w:szCs w:val="22"/>
                <w:lang w:val="fr-FR"/>
              </w:rPr>
              <w:t xml:space="preserve"> pour la vaccination</w:t>
            </w:r>
            <w:r w:rsidRPr="00621BF1">
              <w:rPr>
                <w:rFonts w:ascii="Gill Sans MT" w:hAnsi="Gill Sans MT"/>
                <w:sz w:val="22"/>
                <w:szCs w:val="22"/>
                <w:lang w:val="fr-FR"/>
              </w:rPr>
              <w:t>;</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Appui technique et financier des partenaires (GAVI, UNICEF, OMS…)</w:t>
            </w:r>
          </w:p>
          <w:p w:rsidR="00431B9D" w:rsidRPr="00621BF1" w:rsidRDefault="00431B9D"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Harmonisation des interventions des partenaires pour le renforcement du système d</w:t>
            </w:r>
            <w:r w:rsidR="005E1C04" w:rsidRPr="00621BF1">
              <w:rPr>
                <w:rFonts w:ascii="Gill Sans MT" w:hAnsi="Gill Sans MT"/>
                <w:sz w:val="22"/>
                <w:szCs w:val="22"/>
                <w:lang w:val="fr-FR"/>
              </w:rPr>
              <w:t>e santé (Fonds mondial et GAVI) ;</w:t>
            </w:r>
          </w:p>
          <w:p w:rsidR="005E1C04" w:rsidRPr="00621BF1" w:rsidRDefault="005E1C0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Existence de cadre de concertation des PTF pour la vaccination.</w:t>
            </w:r>
          </w:p>
        </w:tc>
        <w:tc>
          <w:tcPr>
            <w:tcW w:w="1973" w:type="pct"/>
          </w:tcPr>
          <w:p w:rsidR="00FD6B56" w:rsidRPr="00621BF1" w:rsidRDefault="00FD6B56" w:rsidP="00FD6B56">
            <w:pPr>
              <w:pStyle w:val="Corpsdetexte"/>
              <w:spacing w:before="0"/>
              <w:ind w:left="360"/>
              <w:rPr>
                <w:rFonts w:ascii="Gill Sans MT" w:hAnsi="Gill Sans MT"/>
                <w:sz w:val="22"/>
                <w:szCs w:val="22"/>
                <w:lang w:val="fr-FR"/>
              </w:rPr>
            </w:pPr>
          </w:p>
          <w:p w:rsidR="00431B9D" w:rsidRPr="00621BF1" w:rsidRDefault="005E1C04" w:rsidP="0015288B">
            <w:pPr>
              <w:pStyle w:val="Corpsdetexte"/>
              <w:numPr>
                <w:ilvl w:val="0"/>
                <w:numId w:val="10"/>
              </w:numPr>
              <w:spacing w:before="0"/>
              <w:rPr>
                <w:rFonts w:ascii="Gill Sans MT" w:hAnsi="Gill Sans MT"/>
                <w:sz w:val="22"/>
                <w:szCs w:val="22"/>
                <w:lang w:val="fr-FR"/>
              </w:rPr>
            </w:pPr>
            <w:r w:rsidRPr="00621BF1">
              <w:rPr>
                <w:rFonts w:ascii="Gill Sans MT" w:hAnsi="Gill Sans MT"/>
                <w:sz w:val="22"/>
                <w:szCs w:val="22"/>
                <w:lang w:val="fr-FR"/>
              </w:rPr>
              <w:t>Rareté des ressources financières au niveau international</w:t>
            </w:r>
          </w:p>
          <w:p w:rsidR="00431B9D" w:rsidRPr="00621BF1" w:rsidRDefault="00431B9D" w:rsidP="005E1C04">
            <w:pPr>
              <w:pStyle w:val="Corpsdetexte"/>
              <w:spacing w:before="0"/>
              <w:ind w:left="360"/>
              <w:rPr>
                <w:rFonts w:ascii="Gill Sans MT" w:hAnsi="Gill Sans MT"/>
                <w:sz w:val="22"/>
                <w:szCs w:val="22"/>
                <w:lang w:val="fr-FR"/>
              </w:rPr>
            </w:pPr>
          </w:p>
        </w:tc>
      </w:tr>
    </w:tbl>
    <w:p w:rsidR="00431B9D" w:rsidRPr="00621BF1" w:rsidRDefault="00431B9D" w:rsidP="001E0F1D">
      <w:r w:rsidRPr="00621BF1">
        <w:t xml:space="preserve">                               </w:t>
      </w:r>
    </w:p>
    <w:p w:rsidR="00431B9D" w:rsidRPr="00621BF1" w:rsidRDefault="00431B9D" w:rsidP="00431B9D">
      <w:pPr>
        <w:spacing w:after="160" w:line="259" w:lineRule="auto"/>
        <w:sectPr w:rsidR="00431B9D" w:rsidRPr="00621BF1" w:rsidSect="002A5AFB">
          <w:footerReference w:type="default" r:id="rId32"/>
          <w:type w:val="continuous"/>
          <w:pgSz w:w="15840" w:h="12240" w:orient="landscape"/>
          <w:pgMar w:top="1440" w:right="1080" w:bottom="1440" w:left="1080" w:header="720" w:footer="720" w:gutter="0"/>
          <w:cols w:space="720"/>
          <w:docGrid w:linePitch="360"/>
        </w:sectPr>
      </w:pPr>
      <w:r w:rsidRPr="00621BF1">
        <w:br w:type="page"/>
      </w:r>
    </w:p>
    <w:p w:rsidR="00431B9D" w:rsidRPr="00621BF1" w:rsidRDefault="00431B9D" w:rsidP="001E0F1D">
      <w:pPr>
        <w:pStyle w:val="Titre2"/>
      </w:pPr>
      <w:bookmarkStart w:id="148" w:name="_Toc452745785"/>
      <w:bookmarkStart w:id="149" w:name="_Toc452746517"/>
      <w:bookmarkStart w:id="150" w:name="_Toc452747536"/>
      <w:bookmarkStart w:id="151" w:name="_Toc458593660"/>
      <w:r w:rsidRPr="00621BF1">
        <w:lastRenderedPageBreak/>
        <w:t>IDENTIFICATION DES PROBLEMES PRIORITAIRES</w:t>
      </w:r>
      <w:bookmarkEnd w:id="148"/>
      <w:bookmarkEnd w:id="149"/>
      <w:bookmarkEnd w:id="150"/>
      <w:bookmarkEnd w:id="151"/>
    </w:p>
    <w:p w:rsidR="00431B9D" w:rsidRPr="00621BF1" w:rsidRDefault="00431B9D" w:rsidP="0015288B">
      <w:pPr>
        <w:pStyle w:val="Paragraphedeliste"/>
        <w:numPr>
          <w:ilvl w:val="0"/>
          <w:numId w:val="11"/>
        </w:numPr>
        <w:spacing w:before="0"/>
        <w:rPr>
          <w:b/>
        </w:rPr>
      </w:pPr>
      <w:bookmarkStart w:id="152" w:name="_Toc433357470"/>
      <w:bookmarkStart w:id="153" w:name="_Toc433366438"/>
      <w:r w:rsidRPr="00621BF1">
        <w:rPr>
          <w:b/>
        </w:rPr>
        <w:t>PRESTATIONS DE SERVICES</w:t>
      </w:r>
    </w:p>
    <w:p w:rsidR="00431B9D" w:rsidRPr="00621BF1" w:rsidRDefault="00431B9D" w:rsidP="0015288B">
      <w:pPr>
        <w:pStyle w:val="Paragraphedeliste"/>
        <w:numPr>
          <w:ilvl w:val="0"/>
          <w:numId w:val="19"/>
        </w:numPr>
        <w:spacing w:before="0"/>
        <w:jc w:val="both"/>
        <w:rPr>
          <w:rFonts w:cs="Arial"/>
        </w:rPr>
      </w:pPr>
      <w:r w:rsidRPr="00621BF1">
        <w:rPr>
          <w:rFonts w:cs="Arial"/>
        </w:rPr>
        <w:t>Insuffisance d'offre et de continuité des services de vaccination ;</w:t>
      </w:r>
    </w:p>
    <w:p w:rsidR="00431B9D" w:rsidRPr="00621BF1" w:rsidRDefault="00431B9D" w:rsidP="0015288B">
      <w:pPr>
        <w:pStyle w:val="Paragraphedeliste"/>
        <w:numPr>
          <w:ilvl w:val="0"/>
          <w:numId w:val="19"/>
        </w:numPr>
        <w:spacing w:before="0"/>
        <w:jc w:val="both"/>
        <w:rPr>
          <w:rFonts w:cs="Arial"/>
        </w:rPr>
      </w:pPr>
      <w:r w:rsidRPr="00621BF1">
        <w:rPr>
          <w:rFonts w:cs="Arial"/>
        </w:rPr>
        <w:t>42% des districts (16/38) ont une couverture vaccinale DTCP3&lt;90% et la CV nationale est de 60%, aussi, 29% des districts sanitaires (11/38) ont une CV en VAR&lt;80% et la CV nationale en VAR est de 60% ;</w:t>
      </w:r>
    </w:p>
    <w:p w:rsidR="00431B9D" w:rsidRPr="00621BF1" w:rsidRDefault="00431B9D" w:rsidP="0015288B">
      <w:pPr>
        <w:pStyle w:val="Paragraphedeliste"/>
        <w:numPr>
          <w:ilvl w:val="0"/>
          <w:numId w:val="19"/>
        </w:numPr>
        <w:spacing w:before="0"/>
        <w:jc w:val="both"/>
        <w:rPr>
          <w:rFonts w:cs="Arial"/>
        </w:rPr>
      </w:pPr>
      <w:r w:rsidRPr="00621BF1">
        <w:rPr>
          <w:rFonts w:cs="Arial"/>
        </w:rPr>
        <w:t xml:space="preserve">Non introduction des nouveaux vaccins planifiées dans le PPAC 2011 – 2015 dû à la faible performance du programme ; </w:t>
      </w:r>
    </w:p>
    <w:p w:rsidR="00431B9D" w:rsidRPr="00621BF1" w:rsidRDefault="00431B9D" w:rsidP="0015288B">
      <w:pPr>
        <w:pStyle w:val="Paragraphedeliste"/>
        <w:numPr>
          <w:ilvl w:val="0"/>
          <w:numId w:val="19"/>
        </w:numPr>
        <w:spacing w:before="0"/>
        <w:jc w:val="both"/>
        <w:rPr>
          <w:rFonts w:cs="Arial"/>
        </w:rPr>
      </w:pPr>
      <w:r w:rsidRPr="00621BF1">
        <w:rPr>
          <w:rFonts w:cs="Arial"/>
        </w:rPr>
        <w:t xml:space="preserve">Faible qualité des activités de vaccination supplémentaires (AVS) liée à la mauvaise organisation et insuffisance de financement ; </w:t>
      </w:r>
    </w:p>
    <w:p w:rsidR="00431B9D" w:rsidRPr="00621BF1" w:rsidRDefault="00431B9D" w:rsidP="0015288B">
      <w:pPr>
        <w:pStyle w:val="Paragraphedeliste"/>
        <w:numPr>
          <w:ilvl w:val="0"/>
          <w:numId w:val="19"/>
        </w:numPr>
        <w:spacing w:before="0"/>
        <w:jc w:val="both"/>
        <w:rPr>
          <w:rFonts w:cs="Arial"/>
        </w:rPr>
      </w:pPr>
      <w:r w:rsidRPr="00621BF1">
        <w:rPr>
          <w:rFonts w:cs="Arial"/>
        </w:rPr>
        <w:t>Faible qualité des données de vaccination et de surveillance.</w:t>
      </w:r>
    </w:p>
    <w:p w:rsidR="00431B9D" w:rsidRPr="00621BF1" w:rsidRDefault="00431B9D" w:rsidP="00431B9D">
      <w:pPr>
        <w:pStyle w:val="Paragraphedeliste"/>
        <w:jc w:val="both"/>
        <w:rPr>
          <w:rFonts w:cs="Arial"/>
        </w:rPr>
      </w:pPr>
    </w:p>
    <w:p w:rsidR="00431B9D" w:rsidRPr="00621BF1" w:rsidRDefault="00431B9D" w:rsidP="0015288B">
      <w:pPr>
        <w:pStyle w:val="Paragraphedeliste"/>
        <w:numPr>
          <w:ilvl w:val="0"/>
          <w:numId w:val="11"/>
        </w:numPr>
        <w:spacing w:before="0"/>
        <w:rPr>
          <w:b/>
        </w:rPr>
      </w:pPr>
      <w:r w:rsidRPr="00621BF1">
        <w:rPr>
          <w:b/>
        </w:rPr>
        <w:t xml:space="preserve">VACCINS, CHAINE DE FROID ET LOGISTIQUE </w:t>
      </w:r>
    </w:p>
    <w:p w:rsidR="00875CDE" w:rsidRPr="00875CDE" w:rsidRDefault="00875CDE" w:rsidP="00875CDE">
      <w:pPr>
        <w:pStyle w:val="Paragraphedeliste"/>
        <w:numPr>
          <w:ilvl w:val="0"/>
          <w:numId w:val="21"/>
        </w:numPr>
        <w:spacing w:before="0"/>
        <w:jc w:val="both"/>
        <w:rPr>
          <w:rFonts w:cs="Arial"/>
        </w:rPr>
      </w:pPr>
      <w:r>
        <w:rPr>
          <w:rFonts w:cs="Arial"/>
        </w:rPr>
        <w:t xml:space="preserve">Faibles scores enregistrés pendant la GEV de 2011 et 2016 </w:t>
      </w:r>
    </w:p>
    <w:p w:rsidR="00875CDE" w:rsidRDefault="00875CDE" w:rsidP="0015288B">
      <w:pPr>
        <w:pStyle w:val="Paragraphedeliste"/>
        <w:numPr>
          <w:ilvl w:val="0"/>
          <w:numId w:val="21"/>
        </w:numPr>
        <w:spacing w:before="0"/>
        <w:jc w:val="both"/>
        <w:rPr>
          <w:rFonts w:cs="Arial"/>
        </w:rPr>
      </w:pPr>
      <w:r>
        <w:rPr>
          <w:rFonts w:cs="Arial"/>
        </w:rPr>
        <w:t>Insuffisance de capacité de stockage a tous les niveaux</w:t>
      </w:r>
    </w:p>
    <w:p w:rsidR="00431B9D" w:rsidRPr="00621BF1" w:rsidRDefault="00372407" w:rsidP="0015288B">
      <w:pPr>
        <w:pStyle w:val="Paragraphedeliste"/>
        <w:numPr>
          <w:ilvl w:val="0"/>
          <w:numId w:val="21"/>
        </w:numPr>
        <w:spacing w:before="0"/>
        <w:jc w:val="both"/>
        <w:rPr>
          <w:rFonts w:cs="Arial"/>
        </w:rPr>
      </w:pPr>
      <w:r>
        <w:rPr>
          <w:rFonts w:cs="Arial"/>
        </w:rPr>
        <w:t>Insuffisance dans la g</w:t>
      </w:r>
      <w:r w:rsidR="00431B9D" w:rsidRPr="00621BF1">
        <w:rPr>
          <w:rFonts w:cs="Arial"/>
        </w:rPr>
        <w:t>estion des vaccins et consommables du PEV;</w:t>
      </w:r>
    </w:p>
    <w:p w:rsidR="00431B9D" w:rsidRPr="00621BF1" w:rsidRDefault="00372407" w:rsidP="0015288B">
      <w:pPr>
        <w:pStyle w:val="Paragraphedeliste"/>
        <w:numPr>
          <w:ilvl w:val="0"/>
          <w:numId w:val="21"/>
        </w:numPr>
        <w:spacing w:before="0"/>
        <w:jc w:val="both"/>
        <w:rPr>
          <w:rFonts w:cs="Arial"/>
        </w:rPr>
      </w:pPr>
      <w:r>
        <w:rPr>
          <w:rFonts w:cs="Arial"/>
        </w:rPr>
        <w:t>Insuffisance dans la g</w:t>
      </w:r>
      <w:r w:rsidR="00431B9D" w:rsidRPr="00621BF1">
        <w:rPr>
          <w:rFonts w:cs="Arial"/>
        </w:rPr>
        <w:t>estion de la chaîne de froid;</w:t>
      </w:r>
    </w:p>
    <w:p w:rsidR="00431B9D" w:rsidRDefault="00431B9D" w:rsidP="0015288B">
      <w:pPr>
        <w:pStyle w:val="Paragraphedeliste"/>
        <w:numPr>
          <w:ilvl w:val="0"/>
          <w:numId w:val="21"/>
        </w:numPr>
        <w:spacing w:before="0"/>
        <w:jc w:val="both"/>
        <w:rPr>
          <w:rFonts w:cs="Arial"/>
        </w:rPr>
      </w:pPr>
      <w:r w:rsidRPr="00621BF1">
        <w:rPr>
          <w:rFonts w:cs="Arial"/>
        </w:rPr>
        <w:t>Infrastructures et moyens de transports dédiés aux activités du PEV sont insuffisants</w:t>
      </w:r>
    </w:p>
    <w:p w:rsidR="00431B9D" w:rsidRPr="00875CDE" w:rsidRDefault="00875CDE" w:rsidP="00AA70AB">
      <w:pPr>
        <w:pStyle w:val="Paragraphedeliste"/>
        <w:numPr>
          <w:ilvl w:val="0"/>
          <w:numId w:val="21"/>
        </w:numPr>
        <w:spacing w:before="0"/>
        <w:jc w:val="both"/>
        <w:rPr>
          <w:rFonts w:cs="Arial"/>
        </w:rPr>
      </w:pPr>
      <w:r>
        <w:rPr>
          <w:rFonts w:cs="Arial"/>
        </w:rPr>
        <w:t>Insuffisance dans la gestion des</w:t>
      </w:r>
      <w:r w:rsidRPr="00875CDE">
        <w:rPr>
          <w:rFonts w:cs="Arial"/>
        </w:rPr>
        <w:t xml:space="preserve"> </w:t>
      </w:r>
      <w:proofErr w:type="gramStart"/>
      <w:r w:rsidRPr="00875CDE">
        <w:rPr>
          <w:rFonts w:cs="Arial"/>
        </w:rPr>
        <w:t xml:space="preserve">déchets </w:t>
      </w:r>
      <w:r w:rsidR="00431B9D" w:rsidRPr="00875CDE">
        <w:rPr>
          <w:rFonts w:cs="Arial"/>
        </w:rPr>
        <w:t>.</w:t>
      </w:r>
      <w:proofErr w:type="gramEnd"/>
    </w:p>
    <w:p w:rsidR="00431B9D" w:rsidRPr="00621BF1" w:rsidRDefault="00431B9D" w:rsidP="00431B9D">
      <w:pPr>
        <w:pStyle w:val="Paragraphedeliste"/>
        <w:jc w:val="both"/>
        <w:rPr>
          <w:rFonts w:cs="Arial"/>
        </w:rPr>
      </w:pPr>
    </w:p>
    <w:p w:rsidR="00431B9D" w:rsidRPr="00621BF1" w:rsidRDefault="00431B9D" w:rsidP="0015288B">
      <w:pPr>
        <w:pStyle w:val="Paragraphedeliste"/>
        <w:numPr>
          <w:ilvl w:val="0"/>
          <w:numId w:val="11"/>
        </w:numPr>
        <w:spacing w:before="0"/>
        <w:rPr>
          <w:b/>
        </w:rPr>
      </w:pPr>
      <w:r w:rsidRPr="00621BF1">
        <w:rPr>
          <w:b/>
        </w:rPr>
        <w:t>SURVEILLANCE DES MALADIES CIBLES DU PEV</w:t>
      </w:r>
    </w:p>
    <w:p w:rsidR="00431B9D" w:rsidRPr="00621BF1" w:rsidRDefault="00431B9D" w:rsidP="0015288B">
      <w:pPr>
        <w:pStyle w:val="Paragraphedeliste"/>
        <w:numPr>
          <w:ilvl w:val="0"/>
          <w:numId w:val="20"/>
        </w:numPr>
        <w:spacing w:before="0"/>
        <w:jc w:val="both"/>
        <w:rPr>
          <w:rFonts w:cs="Arial"/>
        </w:rPr>
      </w:pPr>
      <w:r w:rsidRPr="00621BF1">
        <w:rPr>
          <w:rFonts w:cs="Arial"/>
        </w:rPr>
        <w:t>Faible performance de la surveillance des maladies cibles du PEV ;</w:t>
      </w:r>
      <w:r w:rsidRPr="00621BF1">
        <w:rPr>
          <w:rFonts w:cs="Arial"/>
        </w:rPr>
        <w:tab/>
      </w:r>
      <w:r w:rsidRPr="00621BF1">
        <w:rPr>
          <w:rFonts w:cs="Arial"/>
        </w:rPr>
        <w:tab/>
      </w:r>
    </w:p>
    <w:p w:rsidR="00431B9D" w:rsidRPr="00621BF1" w:rsidRDefault="00431B9D" w:rsidP="0015288B">
      <w:pPr>
        <w:pStyle w:val="Paragraphedeliste"/>
        <w:numPr>
          <w:ilvl w:val="0"/>
          <w:numId w:val="20"/>
        </w:numPr>
        <w:spacing w:before="0"/>
        <w:jc w:val="both"/>
        <w:rPr>
          <w:rFonts w:cs="Arial"/>
        </w:rPr>
      </w:pPr>
      <w:r w:rsidRPr="00621BF1">
        <w:rPr>
          <w:rFonts w:cs="Arial"/>
        </w:rPr>
        <w:t>Faible détection, notification et investigation des cas des maladies ciblent du PEV ;</w:t>
      </w:r>
    </w:p>
    <w:p w:rsidR="00431B9D" w:rsidRPr="00621BF1" w:rsidRDefault="00431B9D" w:rsidP="0015288B">
      <w:pPr>
        <w:pStyle w:val="Paragraphedeliste"/>
        <w:numPr>
          <w:ilvl w:val="0"/>
          <w:numId w:val="20"/>
        </w:numPr>
        <w:spacing w:before="0"/>
        <w:jc w:val="both"/>
        <w:rPr>
          <w:rFonts w:cs="Arial"/>
        </w:rPr>
      </w:pPr>
      <w:r w:rsidRPr="00621BF1">
        <w:rPr>
          <w:rFonts w:cs="Arial"/>
        </w:rPr>
        <w:t>Insuffisance d’identification et de  notification des cas de MAPI.</w:t>
      </w:r>
    </w:p>
    <w:p w:rsidR="00431B9D" w:rsidRPr="00621BF1" w:rsidRDefault="00431B9D" w:rsidP="00431B9D">
      <w:pPr>
        <w:pStyle w:val="Paragraphedeliste"/>
        <w:jc w:val="both"/>
        <w:rPr>
          <w:rFonts w:cs="Arial"/>
        </w:rPr>
      </w:pPr>
    </w:p>
    <w:p w:rsidR="00431B9D" w:rsidRPr="00621BF1" w:rsidRDefault="00431B9D" w:rsidP="0015288B">
      <w:pPr>
        <w:pStyle w:val="Paragraphedeliste"/>
        <w:numPr>
          <w:ilvl w:val="0"/>
          <w:numId w:val="11"/>
        </w:numPr>
        <w:spacing w:before="0"/>
        <w:rPr>
          <w:b/>
        </w:rPr>
      </w:pPr>
      <w:r w:rsidRPr="00621BF1">
        <w:rPr>
          <w:b/>
        </w:rPr>
        <w:t>COMMUNICATION</w:t>
      </w:r>
    </w:p>
    <w:p w:rsidR="00431B9D" w:rsidRPr="00621BF1" w:rsidRDefault="00431B9D" w:rsidP="00193A7E">
      <w:pPr>
        <w:pStyle w:val="Paragraphedeliste"/>
        <w:numPr>
          <w:ilvl w:val="0"/>
          <w:numId w:val="5"/>
        </w:numPr>
        <w:spacing w:before="0"/>
        <w:jc w:val="both"/>
        <w:rPr>
          <w:rFonts w:cs="Arial"/>
          <w:bCs/>
        </w:rPr>
      </w:pPr>
      <w:r w:rsidRPr="00621BF1">
        <w:rPr>
          <w:rFonts w:cs="Arial"/>
          <w:bCs/>
        </w:rPr>
        <w:t>Communication en faveur du PEV est insuffisante.</w:t>
      </w:r>
    </w:p>
    <w:p w:rsidR="00431B9D" w:rsidRPr="00621BF1" w:rsidRDefault="00431B9D" w:rsidP="00431B9D">
      <w:pPr>
        <w:pStyle w:val="Paragraphedeliste"/>
        <w:jc w:val="both"/>
        <w:rPr>
          <w:rFonts w:cs="Arial"/>
          <w:bCs/>
        </w:rPr>
      </w:pPr>
    </w:p>
    <w:p w:rsidR="00431B9D" w:rsidRPr="00621BF1" w:rsidRDefault="00431B9D" w:rsidP="0015288B">
      <w:pPr>
        <w:pStyle w:val="Paragraphedeliste"/>
        <w:numPr>
          <w:ilvl w:val="0"/>
          <w:numId w:val="11"/>
        </w:numPr>
        <w:spacing w:before="0"/>
        <w:rPr>
          <w:b/>
        </w:rPr>
      </w:pPr>
      <w:r w:rsidRPr="00621BF1">
        <w:rPr>
          <w:b/>
        </w:rPr>
        <w:t>GESTION DU PROGRAMME</w:t>
      </w:r>
      <w:bookmarkEnd w:id="152"/>
      <w:bookmarkEnd w:id="153"/>
    </w:p>
    <w:p w:rsidR="00431B9D" w:rsidRPr="00621BF1" w:rsidRDefault="00431B9D" w:rsidP="0015288B">
      <w:pPr>
        <w:pStyle w:val="Paragraphedeliste"/>
        <w:numPr>
          <w:ilvl w:val="0"/>
          <w:numId w:val="18"/>
        </w:numPr>
        <w:spacing w:before="0"/>
        <w:jc w:val="both"/>
        <w:rPr>
          <w:rFonts w:cs="Arial"/>
        </w:rPr>
      </w:pPr>
      <w:r w:rsidRPr="00621BF1">
        <w:rPr>
          <w:rFonts w:cs="Arial"/>
        </w:rPr>
        <w:t>Coordination du programme est insuffisante ;</w:t>
      </w:r>
    </w:p>
    <w:p w:rsidR="00431B9D" w:rsidRPr="00621BF1" w:rsidRDefault="00431B9D" w:rsidP="0015288B">
      <w:pPr>
        <w:pStyle w:val="Paragraphedeliste"/>
        <w:numPr>
          <w:ilvl w:val="0"/>
          <w:numId w:val="18"/>
        </w:numPr>
        <w:spacing w:before="0"/>
        <w:jc w:val="both"/>
        <w:rPr>
          <w:rFonts w:cs="Arial"/>
        </w:rPr>
      </w:pPr>
      <w:r w:rsidRPr="00621BF1">
        <w:rPr>
          <w:rFonts w:cs="Arial"/>
        </w:rPr>
        <w:t>Capacités opérationnelles du programme sont insuffisantes ;</w:t>
      </w:r>
    </w:p>
    <w:p w:rsidR="00431B9D" w:rsidRPr="00621BF1" w:rsidRDefault="00431B9D" w:rsidP="0015288B">
      <w:pPr>
        <w:pStyle w:val="Paragraphedeliste"/>
        <w:numPr>
          <w:ilvl w:val="0"/>
          <w:numId w:val="18"/>
        </w:numPr>
        <w:spacing w:before="0"/>
        <w:jc w:val="both"/>
        <w:rPr>
          <w:rFonts w:cs="Arial"/>
        </w:rPr>
      </w:pPr>
      <w:r w:rsidRPr="00621BF1">
        <w:rPr>
          <w:rFonts w:cs="Arial"/>
        </w:rPr>
        <w:t>Ressources humaines qualifiées pour la mise en œuvre du programme restent insuffisantes ;</w:t>
      </w:r>
    </w:p>
    <w:p w:rsidR="00431B9D" w:rsidRPr="00621BF1" w:rsidRDefault="00431B9D" w:rsidP="0015288B">
      <w:pPr>
        <w:pStyle w:val="Paragraphedeliste"/>
        <w:numPr>
          <w:ilvl w:val="0"/>
          <w:numId w:val="18"/>
        </w:numPr>
        <w:spacing w:before="0"/>
        <w:jc w:val="both"/>
        <w:rPr>
          <w:rFonts w:cs="Arial"/>
        </w:rPr>
      </w:pPr>
      <w:r w:rsidRPr="00621BF1">
        <w:rPr>
          <w:rFonts w:cs="Arial"/>
        </w:rPr>
        <w:t xml:space="preserve">Discontinuité des services de vaccinations dues aux pannes de la CDF ; </w:t>
      </w:r>
    </w:p>
    <w:p w:rsidR="00431B9D" w:rsidRPr="00621BF1" w:rsidRDefault="00431B9D" w:rsidP="0015288B">
      <w:pPr>
        <w:pStyle w:val="Paragraphedeliste"/>
        <w:numPr>
          <w:ilvl w:val="0"/>
          <w:numId w:val="18"/>
        </w:numPr>
        <w:spacing w:before="0"/>
        <w:jc w:val="both"/>
        <w:rPr>
          <w:rFonts w:cs="Arial"/>
        </w:rPr>
      </w:pPr>
      <w:r w:rsidRPr="00621BF1">
        <w:rPr>
          <w:rFonts w:cs="Arial"/>
        </w:rPr>
        <w:t>Absence d’un plan de formation des agents sur le PEV ;</w:t>
      </w:r>
    </w:p>
    <w:p w:rsidR="00431B9D" w:rsidRPr="00621BF1" w:rsidRDefault="00431B9D" w:rsidP="0015288B">
      <w:pPr>
        <w:pStyle w:val="Paragraphedeliste"/>
        <w:numPr>
          <w:ilvl w:val="0"/>
          <w:numId w:val="18"/>
        </w:numPr>
        <w:spacing w:before="0"/>
        <w:jc w:val="both"/>
        <w:rPr>
          <w:rFonts w:cs="Arial"/>
        </w:rPr>
      </w:pPr>
      <w:r w:rsidRPr="00621BF1">
        <w:rPr>
          <w:rFonts w:cs="Arial"/>
        </w:rPr>
        <w:t>Insuffisance de RH qualifiées pour la mise en œuvre du programme ;</w:t>
      </w:r>
    </w:p>
    <w:p w:rsidR="00431B9D" w:rsidRPr="00621BF1" w:rsidRDefault="00431B9D" w:rsidP="0015288B">
      <w:pPr>
        <w:pStyle w:val="Paragraphedeliste"/>
        <w:numPr>
          <w:ilvl w:val="0"/>
          <w:numId w:val="18"/>
        </w:numPr>
        <w:spacing w:before="0"/>
        <w:jc w:val="both"/>
        <w:rPr>
          <w:rFonts w:cs="Arial"/>
        </w:rPr>
      </w:pPr>
      <w:r w:rsidRPr="00621BF1">
        <w:rPr>
          <w:rFonts w:cs="Arial"/>
        </w:rPr>
        <w:t>manque de la logistique roulante, faible motivation des agents) ;</w:t>
      </w:r>
    </w:p>
    <w:p w:rsidR="00431B9D" w:rsidRPr="00621BF1" w:rsidRDefault="00431B9D" w:rsidP="0015288B">
      <w:pPr>
        <w:pStyle w:val="Paragraphedeliste"/>
        <w:numPr>
          <w:ilvl w:val="0"/>
          <w:numId w:val="18"/>
        </w:numPr>
        <w:spacing w:before="0"/>
        <w:jc w:val="both"/>
        <w:rPr>
          <w:rFonts w:cs="Arial"/>
        </w:rPr>
      </w:pPr>
      <w:r w:rsidRPr="00621BF1">
        <w:rPr>
          <w:rFonts w:cs="Arial"/>
        </w:rPr>
        <w:t>Insuffisance de véhicules de supervision au niveau central, régional et districts ;</w:t>
      </w:r>
    </w:p>
    <w:p w:rsidR="00431B9D" w:rsidRPr="00621BF1" w:rsidRDefault="00431B9D" w:rsidP="0015288B">
      <w:pPr>
        <w:pStyle w:val="Paragraphedeliste"/>
        <w:numPr>
          <w:ilvl w:val="0"/>
          <w:numId w:val="18"/>
        </w:numPr>
        <w:spacing w:before="0"/>
        <w:jc w:val="both"/>
        <w:rPr>
          <w:rFonts w:cs="Arial"/>
        </w:rPr>
      </w:pPr>
      <w:r w:rsidRPr="00621BF1">
        <w:rPr>
          <w:rFonts w:cs="Arial"/>
        </w:rPr>
        <w:t>Insuffisance de la logistique roulante au niveau des Formations sanitaires ;</w:t>
      </w:r>
    </w:p>
    <w:p w:rsidR="00431B9D" w:rsidRPr="00621BF1" w:rsidRDefault="00431B9D" w:rsidP="0015288B">
      <w:pPr>
        <w:pStyle w:val="Paragraphedeliste"/>
        <w:numPr>
          <w:ilvl w:val="0"/>
          <w:numId w:val="22"/>
        </w:numPr>
        <w:spacing w:before="0"/>
        <w:jc w:val="both"/>
        <w:rPr>
          <w:rFonts w:cs="Arial"/>
        </w:rPr>
      </w:pPr>
      <w:r w:rsidRPr="00621BF1">
        <w:rPr>
          <w:rFonts w:cs="Arial"/>
        </w:rPr>
        <w:t>Dépendance financière importante du programme vis-à-vis des financements extérieurs ;</w:t>
      </w:r>
    </w:p>
    <w:p w:rsidR="00431B9D" w:rsidRPr="00621BF1" w:rsidRDefault="00431B9D" w:rsidP="0015288B">
      <w:pPr>
        <w:pStyle w:val="Paragraphedeliste"/>
        <w:numPr>
          <w:ilvl w:val="0"/>
          <w:numId w:val="22"/>
        </w:numPr>
        <w:spacing w:before="0"/>
        <w:jc w:val="both"/>
        <w:rPr>
          <w:rFonts w:cs="Arial"/>
        </w:rPr>
      </w:pPr>
      <w:r w:rsidRPr="00621BF1">
        <w:rPr>
          <w:rFonts w:cs="Arial"/>
        </w:rPr>
        <w:t>Non maitrise de la contribution financière de la communauté à la mise en œuvre du programme.</w:t>
      </w:r>
    </w:p>
    <w:p w:rsidR="00431B9D" w:rsidRPr="00621BF1" w:rsidRDefault="00431B9D" w:rsidP="00431B9D">
      <w:pPr>
        <w:spacing w:after="120"/>
        <w:rPr>
          <w:rFonts w:eastAsiaTheme="majorEastAsia" w:cs="Arial"/>
          <w:b/>
        </w:rPr>
      </w:pPr>
      <w:bookmarkStart w:id="154" w:name="_Toc433367241"/>
      <w:r w:rsidRPr="00621BF1">
        <w:rPr>
          <w:rFonts w:cs="Arial"/>
        </w:rPr>
        <w:br w:type="page"/>
      </w:r>
    </w:p>
    <w:p w:rsidR="00431B9D" w:rsidRPr="00621BF1" w:rsidRDefault="00431B9D" w:rsidP="001E0F1D">
      <w:pPr>
        <w:pStyle w:val="Titre1"/>
      </w:pPr>
      <w:bookmarkStart w:id="155" w:name="_Toc452745786"/>
      <w:bookmarkStart w:id="156" w:name="_Toc452746518"/>
      <w:bookmarkStart w:id="157" w:name="_Toc452747537"/>
      <w:bookmarkStart w:id="158" w:name="_Toc458593661"/>
      <w:r w:rsidRPr="00621BF1">
        <w:lastRenderedPageBreak/>
        <w:t>PLAN PLURIANNUEL COMPLET 2016-2020</w:t>
      </w:r>
      <w:bookmarkEnd w:id="155"/>
      <w:bookmarkEnd w:id="156"/>
      <w:bookmarkEnd w:id="157"/>
      <w:bookmarkEnd w:id="158"/>
    </w:p>
    <w:p w:rsidR="00431B9D" w:rsidRPr="00621BF1" w:rsidRDefault="00431B9D" w:rsidP="001E0F1D">
      <w:pPr>
        <w:pStyle w:val="Titre2"/>
      </w:pPr>
      <w:bookmarkStart w:id="159" w:name="_Toc452745787"/>
      <w:bookmarkStart w:id="160" w:name="_Toc452746519"/>
      <w:bookmarkStart w:id="161" w:name="_Toc452747538"/>
      <w:bookmarkStart w:id="162" w:name="_Toc458593662"/>
      <w:r w:rsidRPr="00621BF1">
        <w:t>BUT ET OBJECTIFS</w:t>
      </w:r>
      <w:bookmarkEnd w:id="154"/>
      <w:bookmarkEnd w:id="159"/>
      <w:bookmarkEnd w:id="160"/>
      <w:bookmarkEnd w:id="161"/>
      <w:bookmarkEnd w:id="162"/>
      <w:r w:rsidRPr="00621BF1">
        <w:t xml:space="preserve"> </w:t>
      </w:r>
    </w:p>
    <w:p w:rsidR="00431B9D" w:rsidRPr="00621BF1" w:rsidRDefault="00431B9D" w:rsidP="001E0F1D">
      <w:pPr>
        <w:pStyle w:val="Titre3"/>
      </w:pPr>
      <w:bookmarkStart w:id="163" w:name="_Toc452745788"/>
      <w:bookmarkStart w:id="164" w:name="_Toc452746520"/>
      <w:bookmarkStart w:id="165" w:name="_Toc452747539"/>
      <w:bookmarkStart w:id="166" w:name="_Toc458593663"/>
      <w:r w:rsidRPr="00621BF1">
        <w:t>BUT</w:t>
      </w:r>
      <w:bookmarkEnd w:id="163"/>
      <w:bookmarkEnd w:id="164"/>
      <w:bookmarkEnd w:id="165"/>
      <w:bookmarkEnd w:id="166"/>
    </w:p>
    <w:p w:rsidR="00431B9D" w:rsidRPr="00621BF1" w:rsidRDefault="00431B9D" w:rsidP="00431B9D">
      <w:pPr>
        <w:autoSpaceDE w:val="0"/>
        <w:autoSpaceDN w:val="0"/>
        <w:adjustRightInd w:val="0"/>
        <w:spacing w:after="120"/>
        <w:jc w:val="both"/>
        <w:rPr>
          <w:rFonts w:cs="Arial"/>
        </w:rPr>
      </w:pPr>
      <w:r w:rsidRPr="00621BF1">
        <w:rPr>
          <w:rFonts w:cs="Arial"/>
        </w:rPr>
        <w:t xml:space="preserve">Parvenir à une couverture vaccinale universelle dans le pays afin de contribuer à la réduction de la mortalité maternelle et infantile </w:t>
      </w:r>
    </w:p>
    <w:p w:rsidR="00431B9D" w:rsidRPr="00621BF1" w:rsidRDefault="00431B9D" w:rsidP="001E0F1D">
      <w:pPr>
        <w:pStyle w:val="Titre3"/>
      </w:pPr>
      <w:bookmarkStart w:id="167" w:name="_Toc452745789"/>
      <w:bookmarkStart w:id="168" w:name="_Toc452746521"/>
      <w:bookmarkStart w:id="169" w:name="_Toc452747540"/>
      <w:bookmarkStart w:id="170" w:name="_Toc458593664"/>
      <w:r w:rsidRPr="00621BF1">
        <w:t>OBJECTIFS</w:t>
      </w:r>
      <w:bookmarkEnd w:id="167"/>
      <w:bookmarkEnd w:id="168"/>
      <w:bookmarkEnd w:id="169"/>
      <w:bookmarkEnd w:id="170"/>
      <w:r w:rsidRPr="00621BF1">
        <w:t xml:space="preserve"> </w:t>
      </w:r>
      <w:bookmarkStart w:id="171" w:name="_Toc410741704"/>
    </w:p>
    <w:p w:rsidR="00431B9D" w:rsidRPr="00621BF1" w:rsidRDefault="00431B9D" w:rsidP="001E0F1D">
      <w:pPr>
        <w:pStyle w:val="Titre4"/>
      </w:pPr>
      <w:r w:rsidRPr="00621BF1">
        <w:t>Objectif général</w:t>
      </w:r>
      <w:bookmarkEnd w:id="171"/>
    </w:p>
    <w:p w:rsidR="00431B9D" w:rsidRPr="00621BF1" w:rsidRDefault="00431B9D" w:rsidP="00431B9D">
      <w:pPr>
        <w:autoSpaceDE w:val="0"/>
        <w:autoSpaceDN w:val="0"/>
        <w:adjustRightInd w:val="0"/>
        <w:spacing w:after="120"/>
        <w:jc w:val="both"/>
        <w:rPr>
          <w:rFonts w:cs="Arial"/>
        </w:rPr>
      </w:pPr>
      <w:r w:rsidRPr="00621BF1">
        <w:rPr>
          <w:rFonts w:cs="Arial"/>
        </w:rPr>
        <w:t>L’objectif général vise par le présent PPAC est à atteindre une couverture vaccinale de 90% pour tous les antigènes du PEV dans au moins 80% des districts sanita</w:t>
      </w:r>
      <w:r w:rsidR="001F6530">
        <w:rPr>
          <w:rFonts w:cs="Arial"/>
        </w:rPr>
        <w:t>ires durant la période 2016-2020</w:t>
      </w:r>
      <w:r w:rsidRPr="00621BF1">
        <w:rPr>
          <w:rFonts w:cs="Arial"/>
        </w:rPr>
        <w:t xml:space="preserve">. </w:t>
      </w:r>
    </w:p>
    <w:p w:rsidR="00431B9D" w:rsidRPr="00621BF1" w:rsidRDefault="00431B9D" w:rsidP="001E0F1D">
      <w:pPr>
        <w:pStyle w:val="Titre4"/>
      </w:pPr>
      <w:bookmarkStart w:id="172" w:name="_Toc410741705"/>
      <w:r w:rsidRPr="00621BF1">
        <w:t>Objectifs spécifiques</w:t>
      </w:r>
      <w:bookmarkEnd w:id="172"/>
    </w:p>
    <w:p w:rsidR="00431B9D" w:rsidRPr="00621BF1" w:rsidRDefault="00431B9D" w:rsidP="00431B9D">
      <w:pPr>
        <w:pStyle w:val="Pieddepage"/>
        <w:spacing w:after="120"/>
        <w:rPr>
          <w:sz w:val="24"/>
          <w:szCs w:val="24"/>
        </w:rPr>
      </w:pPr>
      <w:r w:rsidRPr="00621BF1">
        <w:rPr>
          <w:sz w:val="24"/>
          <w:szCs w:val="24"/>
        </w:rPr>
        <w:t xml:space="preserve">Les objectifs spécifiques ont été définis sur les domaines ci-après : </w:t>
      </w:r>
    </w:p>
    <w:p w:rsidR="00431B9D" w:rsidRPr="00621BF1" w:rsidRDefault="00431B9D" w:rsidP="00193A7E">
      <w:pPr>
        <w:pStyle w:val="Pieddepage"/>
        <w:numPr>
          <w:ilvl w:val="0"/>
          <w:numId w:val="8"/>
        </w:numPr>
        <w:tabs>
          <w:tab w:val="clear" w:pos="4680"/>
          <w:tab w:val="clear" w:pos="9360"/>
        </w:tabs>
        <w:spacing w:before="0" w:after="120"/>
        <w:rPr>
          <w:sz w:val="24"/>
          <w:szCs w:val="24"/>
        </w:rPr>
      </w:pPr>
      <w:r w:rsidRPr="00621BF1">
        <w:rPr>
          <w:sz w:val="24"/>
          <w:szCs w:val="24"/>
        </w:rPr>
        <w:t>Augmentation de la couverture vaccinale et rédu</w:t>
      </w:r>
      <w:r w:rsidR="008247A4">
        <w:rPr>
          <w:sz w:val="24"/>
          <w:szCs w:val="24"/>
        </w:rPr>
        <w:t>ction  du</w:t>
      </w:r>
      <w:r w:rsidRPr="00621BF1">
        <w:rPr>
          <w:sz w:val="24"/>
          <w:szCs w:val="24"/>
        </w:rPr>
        <w:t xml:space="preserve"> taux d’abandon</w:t>
      </w:r>
    </w:p>
    <w:p w:rsidR="00431B9D" w:rsidRPr="00621BF1" w:rsidRDefault="00431B9D" w:rsidP="00193A7E">
      <w:pPr>
        <w:pStyle w:val="Pieddepage"/>
        <w:numPr>
          <w:ilvl w:val="0"/>
          <w:numId w:val="8"/>
        </w:numPr>
        <w:tabs>
          <w:tab w:val="clear" w:pos="4680"/>
          <w:tab w:val="clear" w:pos="9360"/>
        </w:tabs>
        <w:spacing w:before="0" w:after="120"/>
        <w:rPr>
          <w:sz w:val="24"/>
          <w:szCs w:val="24"/>
        </w:rPr>
      </w:pPr>
      <w:r w:rsidRPr="00621BF1">
        <w:rPr>
          <w:sz w:val="24"/>
          <w:szCs w:val="24"/>
        </w:rPr>
        <w:t>Introduction de</w:t>
      </w:r>
      <w:r w:rsidR="008247A4">
        <w:rPr>
          <w:sz w:val="24"/>
          <w:szCs w:val="24"/>
        </w:rPr>
        <w:t>s</w:t>
      </w:r>
      <w:r w:rsidRPr="00621BF1">
        <w:rPr>
          <w:sz w:val="24"/>
          <w:szCs w:val="24"/>
        </w:rPr>
        <w:t xml:space="preserve"> nouveaux vaccins</w:t>
      </w:r>
    </w:p>
    <w:p w:rsidR="00431B9D" w:rsidRPr="00621BF1" w:rsidRDefault="008247A4" w:rsidP="00193A7E">
      <w:pPr>
        <w:pStyle w:val="Pieddepage"/>
        <w:numPr>
          <w:ilvl w:val="0"/>
          <w:numId w:val="8"/>
        </w:numPr>
        <w:tabs>
          <w:tab w:val="clear" w:pos="4680"/>
          <w:tab w:val="clear" w:pos="9360"/>
        </w:tabs>
        <w:spacing w:before="0" w:after="120"/>
        <w:rPr>
          <w:sz w:val="24"/>
          <w:szCs w:val="24"/>
        </w:rPr>
      </w:pPr>
      <w:r>
        <w:rPr>
          <w:sz w:val="24"/>
          <w:szCs w:val="24"/>
        </w:rPr>
        <w:t xml:space="preserve">Amélioration de la </w:t>
      </w:r>
      <w:proofErr w:type="spellStart"/>
      <w:r>
        <w:rPr>
          <w:sz w:val="24"/>
          <w:szCs w:val="24"/>
        </w:rPr>
        <w:t>qualite</w:t>
      </w:r>
      <w:proofErr w:type="spellEnd"/>
      <w:r>
        <w:rPr>
          <w:sz w:val="24"/>
          <w:szCs w:val="24"/>
        </w:rPr>
        <w:t xml:space="preserve"> des a</w:t>
      </w:r>
      <w:r w:rsidR="00431B9D" w:rsidRPr="00621BF1">
        <w:rPr>
          <w:sz w:val="24"/>
          <w:szCs w:val="24"/>
        </w:rPr>
        <w:t>ctivités de vaccination supplémentaires (AVS)</w:t>
      </w:r>
    </w:p>
    <w:p w:rsidR="00431B9D" w:rsidRPr="00621BF1" w:rsidRDefault="008247A4" w:rsidP="00193A7E">
      <w:pPr>
        <w:pStyle w:val="Pieddepage"/>
        <w:numPr>
          <w:ilvl w:val="0"/>
          <w:numId w:val="8"/>
        </w:numPr>
        <w:tabs>
          <w:tab w:val="clear" w:pos="4680"/>
          <w:tab w:val="clear" w:pos="9360"/>
        </w:tabs>
        <w:spacing w:before="0" w:after="120"/>
        <w:rPr>
          <w:sz w:val="24"/>
          <w:szCs w:val="24"/>
        </w:rPr>
      </w:pPr>
      <w:r>
        <w:rPr>
          <w:sz w:val="24"/>
          <w:szCs w:val="24"/>
        </w:rPr>
        <w:t>Amélioration de la q</w:t>
      </w:r>
      <w:r w:rsidR="00431B9D" w:rsidRPr="00621BF1">
        <w:rPr>
          <w:sz w:val="24"/>
          <w:szCs w:val="24"/>
        </w:rPr>
        <w:t>ualité des données de vaccination</w:t>
      </w:r>
    </w:p>
    <w:p w:rsidR="00431B9D" w:rsidRPr="00621BF1" w:rsidRDefault="008247A4" w:rsidP="00193A7E">
      <w:pPr>
        <w:pStyle w:val="Pieddepage"/>
        <w:numPr>
          <w:ilvl w:val="0"/>
          <w:numId w:val="8"/>
        </w:numPr>
        <w:tabs>
          <w:tab w:val="clear" w:pos="4680"/>
          <w:tab w:val="clear" w:pos="9360"/>
        </w:tabs>
        <w:spacing w:before="0" w:after="120"/>
        <w:rPr>
          <w:rFonts w:cs="Arial"/>
          <w:sz w:val="24"/>
          <w:szCs w:val="24"/>
        </w:rPr>
      </w:pPr>
      <w:r>
        <w:rPr>
          <w:sz w:val="24"/>
          <w:szCs w:val="24"/>
        </w:rPr>
        <w:t xml:space="preserve">Amélioration de la gestion des </w:t>
      </w:r>
      <w:r>
        <w:rPr>
          <w:rFonts w:cs="Arial"/>
          <w:sz w:val="24"/>
          <w:szCs w:val="24"/>
        </w:rPr>
        <w:t>v</w:t>
      </w:r>
      <w:r w:rsidR="00431B9D" w:rsidRPr="00621BF1">
        <w:rPr>
          <w:rFonts w:cs="Arial"/>
          <w:sz w:val="24"/>
          <w:szCs w:val="24"/>
        </w:rPr>
        <w:t>accins, chaine de froid et logistique</w:t>
      </w:r>
    </w:p>
    <w:p w:rsidR="00431B9D" w:rsidRPr="00621BF1" w:rsidRDefault="008247A4" w:rsidP="00193A7E">
      <w:pPr>
        <w:pStyle w:val="Pieddepage"/>
        <w:numPr>
          <w:ilvl w:val="0"/>
          <w:numId w:val="8"/>
        </w:numPr>
        <w:tabs>
          <w:tab w:val="clear" w:pos="4680"/>
          <w:tab w:val="clear" w:pos="9360"/>
        </w:tabs>
        <w:spacing w:before="0" w:after="120"/>
        <w:rPr>
          <w:rFonts w:cs="Arial"/>
          <w:sz w:val="24"/>
          <w:szCs w:val="24"/>
        </w:rPr>
      </w:pPr>
      <w:r>
        <w:rPr>
          <w:rFonts w:cs="Arial"/>
          <w:sz w:val="24"/>
          <w:szCs w:val="24"/>
        </w:rPr>
        <w:t>Renforcement de la s</w:t>
      </w:r>
      <w:r w:rsidR="00431B9D" w:rsidRPr="00621BF1">
        <w:rPr>
          <w:rFonts w:cs="Arial"/>
          <w:sz w:val="24"/>
          <w:szCs w:val="24"/>
        </w:rPr>
        <w:t>urveillance des maladies évitables par la vaccination</w:t>
      </w:r>
    </w:p>
    <w:p w:rsidR="00431B9D" w:rsidRPr="00621BF1" w:rsidRDefault="008247A4" w:rsidP="00193A7E">
      <w:pPr>
        <w:pStyle w:val="Pieddepage"/>
        <w:numPr>
          <w:ilvl w:val="0"/>
          <w:numId w:val="8"/>
        </w:numPr>
        <w:tabs>
          <w:tab w:val="clear" w:pos="4680"/>
          <w:tab w:val="clear" w:pos="9360"/>
        </w:tabs>
        <w:spacing w:before="0" w:after="120"/>
        <w:rPr>
          <w:rFonts w:cs="Arial"/>
          <w:sz w:val="24"/>
          <w:szCs w:val="24"/>
        </w:rPr>
      </w:pPr>
      <w:r>
        <w:rPr>
          <w:sz w:val="24"/>
          <w:szCs w:val="24"/>
        </w:rPr>
        <w:t xml:space="preserve">Amélioration de la </w:t>
      </w:r>
      <w:r>
        <w:rPr>
          <w:rFonts w:cs="Arial"/>
          <w:sz w:val="24"/>
          <w:szCs w:val="24"/>
        </w:rPr>
        <w:t>c</w:t>
      </w:r>
      <w:r w:rsidR="00431B9D" w:rsidRPr="00621BF1">
        <w:rPr>
          <w:rFonts w:cs="Arial"/>
          <w:sz w:val="24"/>
          <w:szCs w:val="24"/>
        </w:rPr>
        <w:t>ommunication et mobilisation sociale</w:t>
      </w:r>
    </w:p>
    <w:p w:rsidR="00431B9D" w:rsidRPr="00621BF1" w:rsidRDefault="008247A4" w:rsidP="00193A7E">
      <w:pPr>
        <w:pStyle w:val="Pieddepage"/>
        <w:numPr>
          <w:ilvl w:val="0"/>
          <w:numId w:val="8"/>
        </w:numPr>
        <w:tabs>
          <w:tab w:val="clear" w:pos="4680"/>
          <w:tab w:val="clear" w:pos="9360"/>
        </w:tabs>
        <w:spacing w:before="0" w:after="120"/>
        <w:rPr>
          <w:rFonts w:cs="Arial"/>
          <w:sz w:val="24"/>
          <w:szCs w:val="24"/>
        </w:rPr>
      </w:pPr>
      <w:r>
        <w:rPr>
          <w:rFonts w:cs="Arial"/>
          <w:sz w:val="24"/>
          <w:szCs w:val="24"/>
        </w:rPr>
        <w:t>Renforcement de la g</w:t>
      </w:r>
      <w:r w:rsidR="00431B9D" w:rsidRPr="00621BF1">
        <w:rPr>
          <w:rFonts w:cs="Arial"/>
          <w:sz w:val="24"/>
          <w:szCs w:val="24"/>
        </w:rPr>
        <w:t>estion du programme PEV</w:t>
      </w:r>
    </w:p>
    <w:p w:rsidR="00431B9D" w:rsidRPr="00621BF1" w:rsidRDefault="00431B9D" w:rsidP="001E0F1D">
      <w:pPr>
        <w:pStyle w:val="Titre5"/>
      </w:pPr>
      <w:r w:rsidRPr="00621BF1">
        <w:t>Augmentation de la</w:t>
      </w:r>
      <w:r w:rsidR="00290BD5" w:rsidRPr="00621BF1">
        <w:t xml:space="preserve"> couverture vaccinale et réduction du</w:t>
      </w:r>
      <w:r w:rsidRPr="00621BF1">
        <w:t xml:space="preserve"> taux d’abandon</w:t>
      </w:r>
    </w:p>
    <w:p w:rsidR="001F6530" w:rsidRDefault="00290BD5" w:rsidP="0015288B">
      <w:pPr>
        <w:pStyle w:val="Lgende"/>
        <w:numPr>
          <w:ilvl w:val="0"/>
          <w:numId w:val="32"/>
        </w:numPr>
        <w:rPr>
          <w:rFonts w:eastAsiaTheme="minorEastAsia"/>
          <w:szCs w:val="24"/>
          <w:lang w:val="fr-FR"/>
        </w:rPr>
      </w:pPr>
      <w:r w:rsidRPr="00621BF1">
        <w:rPr>
          <w:rFonts w:eastAsiaTheme="minorEastAsia"/>
          <w:szCs w:val="24"/>
          <w:lang w:val="fr-FR"/>
        </w:rPr>
        <w:t xml:space="preserve">D’ici à 2020, augmenter la couverture des enfants complètement vaccinés (DTC3-Hepb3/Hib3 et en VAR) de 53,4% à au moins 90% au niveau national et  à 80% dans tous les 38 districts sanitaires  de façon équitable.  </w:t>
      </w:r>
    </w:p>
    <w:p w:rsidR="001F6530" w:rsidRPr="0088315F" w:rsidRDefault="001F6530" w:rsidP="001F6530">
      <w:pPr>
        <w:ind w:left="360"/>
        <w:jc w:val="both"/>
        <w:rPr>
          <w:rFonts w:ascii="Arial" w:hAnsi="Arial" w:cs="Arial"/>
          <w:b/>
          <w:sz w:val="20"/>
          <w:szCs w:val="20"/>
          <w:lang w:val="fr-CA"/>
        </w:rPr>
      </w:pPr>
      <w:r w:rsidRPr="0088315F">
        <w:rPr>
          <w:rFonts w:ascii="Arial" w:hAnsi="Arial" w:cs="Arial"/>
          <w:b/>
          <w:sz w:val="20"/>
          <w:szCs w:val="20"/>
          <w:lang w:val="fr-CA"/>
        </w:rPr>
        <w:t>Réduire l’écart entre les données administratives et les données d’enquête de couverture vaccinale du Penta3 de 45 points en 2017 à  10 points  au moins en 2020</w:t>
      </w:r>
    </w:p>
    <w:p w:rsidR="001F6530" w:rsidRPr="0088315F" w:rsidRDefault="001F6530" w:rsidP="001F6530">
      <w:pPr>
        <w:pStyle w:val="Sub-titles"/>
        <w:spacing w:after="0" w:line="240" w:lineRule="auto"/>
        <w:ind w:left="360"/>
        <w:jc w:val="both"/>
        <w:rPr>
          <w:rFonts w:ascii="Arial" w:hAnsi="Arial" w:cs="Arial"/>
          <w:b w:val="0"/>
          <w:color w:val="auto"/>
          <w:sz w:val="20"/>
          <w:szCs w:val="20"/>
          <w:lang w:val="fr-CA"/>
        </w:rPr>
      </w:pPr>
      <w:r w:rsidRPr="0088315F">
        <w:rPr>
          <w:rFonts w:ascii="Arial" w:hAnsi="Arial" w:cs="Arial"/>
          <w:b w:val="0"/>
          <w:color w:val="auto"/>
          <w:sz w:val="20"/>
          <w:szCs w:val="20"/>
          <w:lang w:val="fr-CA"/>
        </w:rPr>
        <w:t>1. Soutenir les activités de collecte, d’analyse, de transmission, de diffusion, d’archivage  et d’auto évaluation de la qualité des données ( DQS) et  de contrôle de qualité des données de santé ( DQA)  à tous les niveaux de la pyramide sanitaire en lien avec le Dhis2 et le DVD-MT ;</w:t>
      </w:r>
    </w:p>
    <w:p w:rsidR="001F6530" w:rsidRPr="0088315F" w:rsidRDefault="001F6530" w:rsidP="001F6530">
      <w:pPr>
        <w:pStyle w:val="Sub-titles"/>
        <w:spacing w:after="0" w:line="240" w:lineRule="auto"/>
        <w:ind w:left="360"/>
        <w:jc w:val="both"/>
        <w:rPr>
          <w:rFonts w:ascii="Arial" w:hAnsi="Arial" w:cs="Arial"/>
          <w:b w:val="0"/>
          <w:color w:val="auto"/>
          <w:sz w:val="20"/>
          <w:szCs w:val="20"/>
          <w:lang w:val="fr-CA"/>
        </w:rPr>
      </w:pPr>
      <w:r w:rsidRPr="0088315F">
        <w:rPr>
          <w:rFonts w:ascii="Arial" w:hAnsi="Arial" w:cs="Arial"/>
          <w:b w:val="0"/>
          <w:color w:val="auto"/>
          <w:sz w:val="20"/>
          <w:szCs w:val="20"/>
          <w:lang w:val="fr-CA"/>
        </w:rPr>
        <w:t>2. Appuyer la réalisation des activités de formation, de supervision intégrée, de monitorage décentralisé et de revues;</w:t>
      </w:r>
    </w:p>
    <w:p w:rsidR="00290BD5" w:rsidRDefault="001F6530" w:rsidP="001F6530">
      <w:pPr>
        <w:ind w:left="360"/>
        <w:rPr>
          <w:rFonts w:ascii="Arial" w:hAnsi="Arial" w:cs="Arial"/>
          <w:sz w:val="20"/>
          <w:szCs w:val="20"/>
          <w:lang w:val="fr-CA"/>
        </w:rPr>
      </w:pPr>
      <w:r w:rsidRPr="001F6530">
        <w:rPr>
          <w:rFonts w:ascii="Arial" w:hAnsi="Arial" w:cs="Arial"/>
          <w:sz w:val="20"/>
          <w:szCs w:val="20"/>
          <w:lang w:val="fr-CA"/>
        </w:rPr>
        <w:t>3. Réaliser des études et enquêtes pour l’évaluation des effets des interventions de santé et la compréhension des causes des goulots (Enquête CAP, Enquête d’Évaluation de couverture, Études socio-anthropologiques).</w:t>
      </w:r>
    </w:p>
    <w:p w:rsidR="001F6530" w:rsidRDefault="001F6530" w:rsidP="001F6530">
      <w:pPr>
        <w:ind w:left="360"/>
        <w:rPr>
          <w:rFonts w:ascii="Arial" w:hAnsi="Arial" w:cs="Arial"/>
          <w:sz w:val="20"/>
          <w:szCs w:val="20"/>
          <w:lang w:val="fr-CA"/>
        </w:rPr>
      </w:pPr>
    </w:p>
    <w:p w:rsidR="001F6530" w:rsidRDefault="001F6530" w:rsidP="001F6530">
      <w:pPr>
        <w:ind w:left="360"/>
        <w:rPr>
          <w:rFonts w:ascii="Arial" w:hAnsi="Arial" w:cs="Arial"/>
          <w:sz w:val="20"/>
          <w:szCs w:val="20"/>
          <w:lang w:val="fr-CA"/>
        </w:rPr>
      </w:pPr>
    </w:p>
    <w:p w:rsidR="001F6530" w:rsidRDefault="001F6530" w:rsidP="001F6530">
      <w:pPr>
        <w:ind w:left="360"/>
        <w:rPr>
          <w:rFonts w:ascii="Arial" w:hAnsi="Arial" w:cs="Arial"/>
          <w:sz w:val="20"/>
          <w:szCs w:val="20"/>
          <w:lang w:val="fr-CA"/>
        </w:rPr>
      </w:pPr>
    </w:p>
    <w:p w:rsidR="001F6530" w:rsidRDefault="001F6530" w:rsidP="001F6530">
      <w:pPr>
        <w:ind w:left="360"/>
        <w:rPr>
          <w:rFonts w:ascii="Arial" w:hAnsi="Arial" w:cs="Arial"/>
          <w:sz w:val="20"/>
          <w:szCs w:val="20"/>
          <w:lang w:val="fr-CA"/>
        </w:rPr>
      </w:pPr>
    </w:p>
    <w:p w:rsidR="001F6530" w:rsidRPr="00621BF1" w:rsidRDefault="001F6530" w:rsidP="001F6530">
      <w:pPr>
        <w:ind w:left="360"/>
      </w:pPr>
    </w:p>
    <w:p w:rsidR="00431B9D" w:rsidRPr="00621BF1" w:rsidRDefault="00431B9D" w:rsidP="00431B9D">
      <w:pPr>
        <w:pStyle w:val="Lgende"/>
      </w:pPr>
      <w:bookmarkStart w:id="173" w:name="_Toc456109490"/>
      <w:r w:rsidRPr="00621BF1">
        <w:lastRenderedPageBreak/>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24</w:t>
      </w:r>
      <w:r w:rsidR="00B51B2E" w:rsidRPr="00621BF1">
        <w:fldChar w:fldCharType="end"/>
      </w:r>
      <w:r w:rsidRPr="00621BF1">
        <w:t>: Projection de couverture vaccinale en vaccins de 2016 à 2020</w:t>
      </w:r>
      <w:bookmarkEnd w:id="173"/>
    </w:p>
    <w:tbl>
      <w:tblPr>
        <w:tblW w:w="44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2"/>
        <w:gridCol w:w="1214"/>
        <w:gridCol w:w="1230"/>
        <w:gridCol w:w="908"/>
        <w:gridCol w:w="1372"/>
        <w:gridCol w:w="1281"/>
        <w:gridCol w:w="1100"/>
      </w:tblGrid>
      <w:tr w:rsidR="00BB1A59" w:rsidRPr="00621BF1" w:rsidTr="00BB1A59">
        <w:trPr>
          <w:trHeight w:val="525"/>
        </w:trPr>
        <w:tc>
          <w:tcPr>
            <w:tcW w:w="939" w:type="pct"/>
            <w:vMerge w:val="restart"/>
            <w:shd w:val="clear" w:color="auto" w:fill="C45911" w:themeFill="accent2" w:themeFillShade="BF"/>
            <w:vAlign w:val="center"/>
            <w:hideMark/>
          </w:tcPr>
          <w:p w:rsidR="00BB1A59" w:rsidRPr="00621BF1" w:rsidRDefault="00BB1A59" w:rsidP="00ED0C53">
            <w:pPr>
              <w:spacing w:after="120"/>
              <w:jc w:val="center"/>
              <w:rPr>
                <w:b/>
                <w:bCs/>
                <w:color w:val="FFFFFF" w:themeColor="background1"/>
                <w:sz w:val="18"/>
                <w:szCs w:val="20"/>
              </w:rPr>
            </w:pPr>
            <w:r w:rsidRPr="00621BF1">
              <w:rPr>
                <w:b/>
                <w:bCs/>
                <w:color w:val="FFFFFF" w:themeColor="background1"/>
                <w:sz w:val="18"/>
                <w:szCs w:val="20"/>
              </w:rPr>
              <w:t>Antigènes</w:t>
            </w:r>
          </w:p>
        </w:tc>
        <w:tc>
          <w:tcPr>
            <w:tcW w:w="694" w:type="pct"/>
            <w:vMerge w:val="restart"/>
            <w:shd w:val="clear" w:color="auto" w:fill="C45911" w:themeFill="accent2" w:themeFillShade="BF"/>
            <w:vAlign w:val="center"/>
            <w:hideMark/>
          </w:tcPr>
          <w:p w:rsidR="00BB1A59" w:rsidRPr="00621BF1" w:rsidRDefault="00BB1A59" w:rsidP="00ED0C53">
            <w:pPr>
              <w:spacing w:after="120"/>
              <w:jc w:val="center"/>
              <w:rPr>
                <w:b/>
                <w:bCs/>
                <w:color w:val="FFFFFF" w:themeColor="background1"/>
                <w:sz w:val="18"/>
                <w:szCs w:val="20"/>
              </w:rPr>
            </w:pPr>
            <w:r w:rsidRPr="00621BF1">
              <w:rPr>
                <w:b/>
                <w:bCs/>
                <w:color w:val="FFFFFF" w:themeColor="background1"/>
                <w:sz w:val="18"/>
                <w:szCs w:val="20"/>
              </w:rPr>
              <w:t>Couverture (%) année de base (2015)</w:t>
            </w:r>
          </w:p>
        </w:tc>
        <w:tc>
          <w:tcPr>
            <w:tcW w:w="3367" w:type="pct"/>
            <w:gridSpan w:val="5"/>
            <w:shd w:val="clear" w:color="auto" w:fill="C45911" w:themeFill="accent2" w:themeFillShade="BF"/>
            <w:vAlign w:val="center"/>
          </w:tcPr>
          <w:p w:rsidR="00BB1A59" w:rsidRPr="00621BF1" w:rsidRDefault="00BB1A59" w:rsidP="00ED0C53">
            <w:pPr>
              <w:spacing w:after="120"/>
              <w:jc w:val="center"/>
              <w:rPr>
                <w:b/>
                <w:bCs/>
                <w:color w:val="FFFFFF" w:themeColor="background1"/>
                <w:sz w:val="18"/>
                <w:szCs w:val="20"/>
              </w:rPr>
            </w:pPr>
            <w:r w:rsidRPr="00621BF1">
              <w:rPr>
                <w:b/>
                <w:bCs/>
                <w:color w:val="FFFFFF" w:themeColor="background1"/>
                <w:sz w:val="18"/>
                <w:szCs w:val="20"/>
              </w:rPr>
              <w:t>Projection couverture vaccinale (%)</w:t>
            </w:r>
          </w:p>
        </w:tc>
      </w:tr>
      <w:tr w:rsidR="00BB1A59" w:rsidRPr="00621BF1" w:rsidTr="00BB1A59">
        <w:trPr>
          <w:trHeight w:val="317"/>
        </w:trPr>
        <w:tc>
          <w:tcPr>
            <w:tcW w:w="939" w:type="pct"/>
            <w:vMerge/>
            <w:shd w:val="clear" w:color="auto" w:fill="C45911" w:themeFill="accent2" w:themeFillShade="BF"/>
            <w:vAlign w:val="center"/>
          </w:tcPr>
          <w:p w:rsidR="00BB1A59" w:rsidRPr="00621BF1" w:rsidRDefault="00BB1A59" w:rsidP="00ED0C53">
            <w:pPr>
              <w:spacing w:after="120"/>
              <w:jc w:val="center"/>
              <w:rPr>
                <w:b/>
                <w:bCs/>
                <w:color w:val="FFFFFF" w:themeColor="background1"/>
                <w:sz w:val="18"/>
                <w:szCs w:val="20"/>
              </w:rPr>
            </w:pPr>
          </w:p>
        </w:tc>
        <w:tc>
          <w:tcPr>
            <w:tcW w:w="694" w:type="pct"/>
            <w:vMerge/>
            <w:shd w:val="clear" w:color="auto" w:fill="C45911" w:themeFill="accent2" w:themeFillShade="BF"/>
            <w:vAlign w:val="center"/>
          </w:tcPr>
          <w:p w:rsidR="00BB1A59" w:rsidRPr="00621BF1" w:rsidRDefault="00BB1A59" w:rsidP="00ED0C53">
            <w:pPr>
              <w:spacing w:after="120"/>
              <w:jc w:val="center"/>
              <w:rPr>
                <w:b/>
                <w:bCs/>
                <w:color w:val="FFFFFF" w:themeColor="background1"/>
                <w:sz w:val="18"/>
                <w:szCs w:val="20"/>
              </w:rPr>
            </w:pPr>
          </w:p>
        </w:tc>
        <w:tc>
          <w:tcPr>
            <w:tcW w:w="703" w:type="pct"/>
            <w:shd w:val="clear" w:color="auto" w:fill="C45911" w:themeFill="accent2" w:themeFillShade="BF"/>
            <w:vAlign w:val="center"/>
          </w:tcPr>
          <w:p w:rsidR="00BB1A59" w:rsidRPr="00621BF1" w:rsidRDefault="00BB1A59" w:rsidP="00ED0C53">
            <w:pPr>
              <w:spacing w:after="120"/>
              <w:jc w:val="center"/>
              <w:rPr>
                <w:b/>
                <w:bCs/>
                <w:color w:val="FFFFFF" w:themeColor="background1"/>
                <w:sz w:val="18"/>
                <w:szCs w:val="20"/>
              </w:rPr>
            </w:pPr>
            <w:r w:rsidRPr="00621BF1">
              <w:rPr>
                <w:b/>
                <w:bCs/>
                <w:color w:val="FFFFFF" w:themeColor="background1"/>
                <w:sz w:val="18"/>
                <w:szCs w:val="20"/>
              </w:rPr>
              <w:t>2016</w:t>
            </w:r>
          </w:p>
        </w:tc>
        <w:tc>
          <w:tcPr>
            <w:tcW w:w="519" w:type="pct"/>
            <w:shd w:val="clear" w:color="auto" w:fill="C45911" w:themeFill="accent2" w:themeFillShade="BF"/>
            <w:vAlign w:val="center"/>
          </w:tcPr>
          <w:p w:rsidR="00BB1A59" w:rsidRPr="00621BF1" w:rsidRDefault="00BB1A59" w:rsidP="00ED0C53">
            <w:pPr>
              <w:spacing w:after="120"/>
              <w:jc w:val="center"/>
              <w:rPr>
                <w:b/>
                <w:bCs/>
                <w:color w:val="FFFFFF" w:themeColor="background1"/>
                <w:sz w:val="18"/>
                <w:szCs w:val="20"/>
              </w:rPr>
            </w:pPr>
            <w:r w:rsidRPr="00621BF1">
              <w:rPr>
                <w:b/>
                <w:bCs/>
                <w:color w:val="FFFFFF" w:themeColor="background1"/>
                <w:sz w:val="18"/>
                <w:szCs w:val="20"/>
              </w:rPr>
              <w:t>2017</w:t>
            </w:r>
          </w:p>
        </w:tc>
        <w:tc>
          <w:tcPr>
            <w:tcW w:w="784" w:type="pct"/>
            <w:shd w:val="clear" w:color="auto" w:fill="C45911" w:themeFill="accent2" w:themeFillShade="BF"/>
            <w:vAlign w:val="center"/>
          </w:tcPr>
          <w:p w:rsidR="00BB1A59" w:rsidRPr="00621BF1" w:rsidRDefault="00BB1A59" w:rsidP="00ED0C53">
            <w:pPr>
              <w:spacing w:after="120"/>
              <w:jc w:val="center"/>
              <w:rPr>
                <w:b/>
                <w:bCs/>
                <w:color w:val="FFFFFF" w:themeColor="background1"/>
                <w:sz w:val="18"/>
                <w:szCs w:val="20"/>
              </w:rPr>
            </w:pPr>
            <w:r w:rsidRPr="00621BF1">
              <w:rPr>
                <w:b/>
                <w:bCs/>
                <w:color w:val="FFFFFF" w:themeColor="background1"/>
                <w:sz w:val="18"/>
                <w:szCs w:val="20"/>
              </w:rPr>
              <w:t>2018</w:t>
            </w:r>
          </w:p>
        </w:tc>
        <w:tc>
          <w:tcPr>
            <w:tcW w:w="732" w:type="pct"/>
            <w:shd w:val="clear" w:color="auto" w:fill="C45911" w:themeFill="accent2" w:themeFillShade="BF"/>
            <w:vAlign w:val="center"/>
          </w:tcPr>
          <w:p w:rsidR="00BB1A59" w:rsidRPr="00621BF1" w:rsidRDefault="00BB1A59" w:rsidP="00ED0C53">
            <w:pPr>
              <w:spacing w:after="120"/>
              <w:jc w:val="center"/>
              <w:rPr>
                <w:b/>
                <w:bCs/>
                <w:color w:val="FFFFFF" w:themeColor="background1"/>
                <w:sz w:val="18"/>
                <w:szCs w:val="20"/>
              </w:rPr>
            </w:pPr>
            <w:r w:rsidRPr="00621BF1">
              <w:rPr>
                <w:b/>
                <w:bCs/>
                <w:color w:val="FFFFFF" w:themeColor="background1"/>
                <w:sz w:val="18"/>
                <w:szCs w:val="20"/>
              </w:rPr>
              <w:t>2019</w:t>
            </w:r>
          </w:p>
        </w:tc>
        <w:tc>
          <w:tcPr>
            <w:tcW w:w="629" w:type="pct"/>
            <w:shd w:val="clear" w:color="auto" w:fill="C45911" w:themeFill="accent2" w:themeFillShade="BF"/>
            <w:vAlign w:val="center"/>
          </w:tcPr>
          <w:p w:rsidR="00BB1A59" w:rsidRPr="00621BF1" w:rsidRDefault="00BB1A59" w:rsidP="00ED0C53">
            <w:pPr>
              <w:spacing w:after="120"/>
              <w:jc w:val="center"/>
              <w:rPr>
                <w:b/>
                <w:bCs/>
                <w:color w:val="FFFFFF" w:themeColor="background1"/>
                <w:sz w:val="18"/>
                <w:szCs w:val="20"/>
              </w:rPr>
            </w:pPr>
            <w:r w:rsidRPr="00621BF1">
              <w:rPr>
                <w:b/>
                <w:bCs/>
                <w:color w:val="FFFFFF" w:themeColor="background1"/>
                <w:sz w:val="18"/>
                <w:szCs w:val="20"/>
              </w:rPr>
              <w:t>2020</w:t>
            </w:r>
          </w:p>
        </w:tc>
      </w:tr>
      <w:tr w:rsidR="00BB1A59" w:rsidRPr="00621BF1" w:rsidTr="00BB1A59">
        <w:trPr>
          <w:trHeight w:val="300"/>
        </w:trPr>
        <w:tc>
          <w:tcPr>
            <w:tcW w:w="939" w:type="pct"/>
            <w:shd w:val="clear" w:color="auto" w:fill="auto"/>
            <w:vAlign w:val="center"/>
            <w:hideMark/>
          </w:tcPr>
          <w:p w:rsidR="00BB1A59" w:rsidRPr="00621BF1" w:rsidRDefault="00BB1A59" w:rsidP="00BB1A59">
            <w:pPr>
              <w:spacing w:after="120"/>
              <w:rPr>
                <w:sz w:val="18"/>
                <w:szCs w:val="20"/>
              </w:rPr>
            </w:pPr>
            <w:r w:rsidRPr="00621BF1">
              <w:rPr>
                <w:sz w:val="18"/>
                <w:szCs w:val="20"/>
              </w:rPr>
              <w:t>BCG</w:t>
            </w:r>
          </w:p>
        </w:tc>
        <w:tc>
          <w:tcPr>
            <w:tcW w:w="694" w:type="pct"/>
            <w:shd w:val="clear" w:color="auto" w:fill="auto"/>
            <w:vAlign w:val="center"/>
          </w:tcPr>
          <w:p w:rsidR="00BB1A59" w:rsidRPr="00621BF1" w:rsidRDefault="00BB1A59" w:rsidP="00BB1A59">
            <w:pPr>
              <w:spacing w:after="120"/>
              <w:jc w:val="center"/>
              <w:rPr>
                <w:sz w:val="18"/>
                <w:szCs w:val="20"/>
              </w:rPr>
            </w:pPr>
            <w:r w:rsidRPr="00621BF1">
              <w:rPr>
                <w:sz w:val="18"/>
                <w:szCs w:val="20"/>
              </w:rPr>
              <w:t>85</w:t>
            </w:r>
          </w:p>
        </w:tc>
        <w:tc>
          <w:tcPr>
            <w:tcW w:w="703" w:type="pct"/>
            <w:shd w:val="clear" w:color="auto" w:fill="auto"/>
            <w:vAlign w:val="center"/>
          </w:tcPr>
          <w:p w:rsidR="00BB1A59" w:rsidRPr="00621BF1" w:rsidRDefault="00BB1A59" w:rsidP="00BB1A59">
            <w:pPr>
              <w:spacing w:after="120"/>
              <w:jc w:val="center"/>
              <w:rPr>
                <w:sz w:val="18"/>
                <w:szCs w:val="20"/>
              </w:rPr>
            </w:pPr>
            <w:r w:rsidRPr="00621BF1">
              <w:rPr>
                <w:sz w:val="18"/>
                <w:szCs w:val="20"/>
              </w:rPr>
              <w:t>85</w:t>
            </w:r>
          </w:p>
        </w:tc>
        <w:tc>
          <w:tcPr>
            <w:tcW w:w="519" w:type="pct"/>
            <w:shd w:val="clear" w:color="auto" w:fill="auto"/>
            <w:vAlign w:val="center"/>
          </w:tcPr>
          <w:p w:rsidR="00BB1A59" w:rsidRPr="00621BF1" w:rsidRDefault="00BB1A59" w:rsidP="00BB1A59">
            <w:pPr>
              <w:spacing w:after="120"/>
              <w:jc w:val="center"/>
              <w:rPr>
                <w:sz w:val="18"/>
                <w:szCs w:val="20"/>
              </w:rPr>
            </w:pPr>
            <w:r w:rsidRPr="00621BF1">
              <w:rPr>
                <w:sz w:val="18"/>
                <w:szCs w:val="20"/>
              </w:rPr>
              <w:t>90</w:t>
            </w:r>
          </w:p>
        </w:tc>
        <w:tc>
          <w:tcPr>
            <w:tcW w:w="784" w:type="pct"/>
            <w:shd w:val="clear" w:color="auto" w:fill="auto"/>
            <w:vAlign w:val="center"/>
          </w:tcPr>
          <w:p w:rsidR="00BB1A59" w:rsidRPr="00621BF1" w:rsidRDefault="00BB1A59" w:rsidP="00BB1A59">
            <w:pPr>
              <w:spacing w:after="120"/>
              <w:jc w:val="center"/>
              <w:rPr>
                <w:sz w:val="18"/>
                <w:szCs w:val="20"/>
              </w:rPr>
            </w:pPr>
            <w:r w:rsidRPr="00621BF1">
              <w:rPr>
                <w:sz w:val="18"/>
                <w:szCs w:val="20"/>
              </w:rPr>
              <w:t>95</w:t>
            </w:r>
          </w:p>
        </w:tc>
        <w:tc>
          <w:tcPr>
            <w:tcW w:w="732" w:type="pct"/>
            <w:shd w:val="clear" w:color="auto" w:fill="auto"/>
            <w:vAlign w:val="center"/>
          </w:tcPr>
          <w:p w:rsidR="00BB1A59" w:rsidRPr="00621BF1" w:rsidRDefault="00BB1A59" w:rsidP="00BB1A59">
            <w:pPr>
              <w:spacing w:after="120"/>
              <w:jc w:val="center"/>
              <w:rPr>
                <w:sz w:val="18"/>
                <w:szCs w:val="20"/>
              </w:rPr>
            </w:pPr>
            <w:r w:rsidRPr="00621BF1">
              <w:rPr>
                <w:sz w:val="18"/>
                <w:szCs w:val="20"/>
              </w:rPr>
              <w:t>95</w:t>
            </w:r>
          </w:p>
        </w:tc>
        <w:tc>
          <w:tcPr>
            <w:tcW w:w="629" w:type="pct"/>
            <w:shd w:val="clear" w:color="auto" w:fill="auto"/>
            <w:vAlign w:val="center"/>
          </w:tcPr>
          <w:p w:rsidR="00BB1A59" w:rsidRPr="00621BF1" w:rsidRDefault="00BB1A59" w:rsidP="00BB1A59">
            <w:pPr>
              <w:spacing w:after="120"/>
              <w:jc w:val="center"/>
              <w:rPr>
                <w:sz w:val="18"/>
                <w:szCs w:val="20"/>
              </w:rPr>
            </w:pPr>
            <w:r w:rsidRPr="00621BF1">
              <w:rPr>
                <w:sz w:val="18"/>
                <w:szCs w:val="20"/>
              </w:rPr>
              <w:t>95</w:t>
            </w:r>
          </w:p>
        </w:tc>
      </w:tr>
      <w:tr w:rsidR="00BB1A59" w:rsidRPr="00621BF1" w:rsidTr="00BB1A59">
        <w:trPr>
          <w:trHeight w:val="300"/>
        </w:trPr>
        <w:tc>
          <w:tcPr>
            <w:tcW w:w="939" w:type="pct"/>
            <w:shd w:val="clear" w:color="auto" w:fill="auto"/>
            <w:vAlign w:val="center"/>
            <w:hideMark/>
          </w:tcPr>
          <w:p w:rsidR="00BB1A59" w:rsidRPr="00621BF1" w:rsidRDefault="00BB1A59" w:rsidP="00BB1A59">
            <w:pPr>
              <w:spacing w:after="120"/>
              <w:rPr>
                <w:sz w:val="18"/>
                <w:szCs w:val="20"/>
              </w:rPr>
            </w:pPr>
            <w:r w:rsidRPr="00621BF1">
              <w:rPr>
                <w:sz w:val="18"/>
                <w:szCs w:val="20"/>
              </w:rPr>
              <w:t>DTC-HepB-Hib3</w:t>
            </w:r>
          </w:p>
        </w:tc>
        <w:tc>
          <w:tcPr>
            <w:tcW w:w="694" w:type="pct"/>
            <w:shd w:val="clear" w:color="auto" w:fill="auto"/>
            <w:vAlign w:val="center"/>
          </w:tcPr>
          <w:p w:rsidR="00BB1A59" w:rsidRPr="00621BF1" w:rsidRDefault="00BB1A59" w:rsidP="00BB1A59">
            <w:pPr>
              <w:spacing w:after="120"/>
              <w:jc w:val="center"/>
              <w:rPr>
                <w:sz w:val="18"/>
                <w:szCs w:val="20"/>
              </w:rPr>
            </w:pPr>
            <w:r w:rsidRPr="00621BF1">
              <w:rPr>
                <w:sz w:val="18"/>
                <w:szCs w:val="20"/>
              </w:rPr>
              <w:t>66</w:t>
            </w:r>
          </w:p>
        </w:tc>
        <w:tc>
          <w:tcPr>
            <w:tcW w:w="703" w:type="pct"/>
            <w:shd w:val="clear" w:color="auto" w:fill="auto"/>
            <w:vAlign w:val="center"/>
          </w:tcPr>
          <w:p w:rsidR="00BB1A59" w:rsidRPr="00621BF1" w:rsidRDefault="00BB1A59" w:rsidP="00BB1A59">
            <w:pPr>
              <w:spacing w:after="120"/>
              <w:jc w:val="center"/>
              <w:rPr>
                <w:sz w:val="18"/>
                <w:szCs w:val="20"/>
              </w:rPr>
            </w:pPr>
            <w:r w:rsidRPr="00621BF1">
              <w:rPr>
                <w:sz w:val="18"/>
                <w:szCs w:val="20"/>
              </w:rPr>
              <w:t>70</w:t>
            </w:r>
          </w:p>
        </w:tc>
        <w:tc>
          <w:tcPr>
            <w:tcW w:w="519" w:type="pct"/>
            <w:shd w:val="clear" w:color="auto" w:fill="auto"/>
            <w:vAlign w:val="center"/>
          </w:tcPr>
          <w:p w:rsidR="00BB1A59" w:rsidRPr="00621BF1" w:rsidRDefault="00BB1A59" w:rsidP="00BB1A59">
            <w:pPr>
              <w:spacing w:after="120"/>
              <w:jc w:val="center"/>
              <w:rPr>
                <w:sz w:val="18"/>
                <w:szCs w:val="20"/>
              </w:rPr>
            </w:pPr>
            <w:r w:rsidRPr="00621BF1">
              <w:rPr>
                <w:sz w:val="18"/>
                <w:szCs w:val="20"/>
              </w:rPr>
              <w:t>80</w:t>
            </w:r>
          </w:p>
        </w:tc>
        <w:tc>
          <w:tcPr>
            <w:tcW w:w="784" w:type="pct"/>
            <w:shd w:val="clear" w:color="auto" w:fill="auto"/>
            <w:vAlign w:val="center"/>
          </w:tcPr>
          <w:p w:rsidR="00BB1A59" w:rsidRPr="00621BF1" w:rsidRDefault="00BB1A59" w:rsidP="00BB1A59">
            <w:pPr>
              <w:spacing w:after="120"/>
              <w:jc w:val="center"/>
              <w:rPr>
                <w:sz w:val="18"/>
                <w:szCs w:val="20"/>
              </w:rPr>
            </w:pPr>
            <w:r w:rsidRPr="00621BF1">
              <w:rPr>
                <w:sz w:val="18"/>
                <w:szCs w:val="20"/>
              </w:rPr>
              <w:t>85</w:t>
            </w:r>
          </w:p>
        </w:tc>
        <w:tc>
          <w:tcPr>
            <w:tcW w:w="732" w:type="pct"/>
            <w:shd w:val="clear" w:color="auto" w:fill="auto"/>
            <w:vAlign w:val="center"/>
          </w:tcPr>
          <w:p w:rsidR="00BB1A59" w:rsidRPr="00621BF1" w:rsidRDefault="00BB1A59" w:rsidP="00BB1A59">
            <w:pPr>
              <w:spacing w:after="120"/>
              <w:jc w:val="center"/>
              <w:rPr>
                <w:sz w:val="18"/>
                <w:szCs w:val="20"/>
              </w:rPr>
            </w:pPr>
            <w:r w:rsidRPr="00621BF1">
              <w:rPr>
                <w:sz w:val="18"/>
                <w:szCs w:val="20"/>
              </w:rPr>
              <w:t>90</w:t>
            </w:r>
          </w:p>
        </w:tc>
        <w:tc>
          <w:tcPr>
            <w:tcW w:w="629" w:type="pct"/>
            <w:shd w:val="clear" w:color="auto" w:fill="auto"/>
            <w:vAlign w:val="center"/>
          </w:tcPr>
          <w:p w:rsidR="00BB1A59" w:rsidRPr="00621BF1" w:rsidRDefault="00BB1A59" w:rsidP="00BB1A59">
            <w:pPr>
              <w:spacing w:after="120"/>
              <w:jc w:val="center"/>
              <w:rPr>
                <w:sz w:val="18"/>
                <w:szCs w:val="20"/>
              </w:rPr>
            </w:pPr>
            <w:r w:rsidRPr="00621BF1">
              <w:rPr>
                <w:sz w:val="18"/>
                <w:szCs w:val="20"/>
              </w:rPr>
              <w:t>95</w:t>
            </w:r>
          </w:p>
        </w:tc>
      </w:tr>
      <w:tr w:rsidR="00BB1A59" w:rsidRPr="00621BF1" w:rsidTr="00BB1A59">
        <w:trPr>
          <w:trHeight w:val="300"/>
        </w:trPr>
        <w:tc>
          <w:tcPr>
            <w:tcW w:w="939" w:type="pct"/>
            <w:shd w:val="clear" w:color="auto" w:fill="auto"/>
            <w:vAlign w:val="center"/>
            <w:hideMark/>
          </w:tcPr>
          <w:p w:rsidR="00BB1A59" w:rsidRPr="00621BF1" w:rsidRDefault="00BB1A59" w:rsidP="00BB1A59">
            <w:pPr>
              <w:spacing w:after="120"/>
              <w:rPr>
                <w:sz w:val="18"/>
                <w:szCs w:val="20"/>
              </w:rPr>
            </w:pPr>
            <w:r w:rsidRPr="00621BF1">
              <w:rPr>
                <w:sz w:val="18"/>
                <w:szCs w:val="20"/>
              </w:rPr>
              <w:t>VPO3</w:t>
            </w:r>
          </w:p>
        </w:tc>
        <w:tc>
          <w:tcPr>
            <w:tcW w:w="694" w:type="pct"/>
            <w:shd w:val="clear" w:color="auto" w:fill="auto"/>
            <w:vAlign w:val="center"/>
          </w:tcPr>
          <w:p w:rsidR="00BB1A59" w:rsidRPr="00621BF1" w:rsidRDefault="00BB1A59" w:rsidP="00BB1A59">
            <w:pPr>
              <w:spacing w:after="120"/>
              <w:jc w:val="center"/>
              <w:rPr>
                <w:sz w:val="18"/>
                <w:szCs w:val="20"/>
              </w:rPr>
            </w:pPr>
            <w:r w:rsidRPr="00621BF1">
              <w:rPr>
                <w:sz w:val="18"/>
                <w:szCs w:val="20"/>
              </w:rPr>
              <w:t>71.6</w:t>
            </w:r>
          </w:p>
        </w:tc>
        <w:tc>
          <w:tcPr>
            <w:tcW w:w="703" w:type="pct"/>
            <w:shd w:val="clear" w:color="auto" w:fill="auto"/>
            <w:vAlign w:val="center"/>
          </w:tcPr>
          <w:p w:rsidR="00BB1A59" w:rsidRPr="00621BF1" w:rsidRDefault="00BB1A59" w:rsidP="00BB1A59">
            <w:pPr>
              <w:spacing w:after="120"/>
              <w:jc w:val="center"/>
              <w:rPr>
                <w:sz w:val="18"/>
                <w:szCs w:val="20"/>
              </w:rPr>
            </w:pPr>
            <w:r w:rsidRPr="00621BF1">
              <w:rPr>
                <w:sz w:val="18"/>
                <w:szCs w:val="20"/>
              </w:rPr>
              <w:t>80</w:t>
            </w:r>
          </w:p>
        </w:tc>
        <w:tc>
          <w:tcPr>
            <w:tcW w:w="519" w:type="pct"/>
            <w:shd w:val="clear" w:color="auto" w:fill="auto"/>
            <w:vAlign w:val="center"/>
          </w:tcPr>
          <w:p w:rsidR="00BB1A59" w:rsidRPr="00621BF1" w:rsidRDefault="00BB1A59" w:rsidP="00BB1A59">
            <w:pPr>
              <w:spacing w:after="120"/>
              <w:jc w:val="center"/>
              <w:rPr>
                <w:sz w:val="18"/>
                <w:szCs w:val="20"/>
              </w:rPr>
            </w:pPr>
            <w:r w:rsidRPr="00621BF1">
              <w:rPr>
                <w:sz w:val="18"/>
                <w:szCs w:val="20"/>
              </w:rPr>
              <w:t>90</w:t>
            </w:r>
          </w:p>
        </w:tc>
        <w:tc>
          <w:tcPr>
            <w:tcW w:w="784" w:type="pct"/>
            <w:shd w:val="clear" w:color="auto" w:fill="auto"/>
            <w:vAlign w:val="center"/>
          </w:tcPr>
          <w:p w:rsidR="00BB1A59" w:rsidRPr="00621BF1" w:rsidRDefault="00BB1A59" w:rsidP="00BB1A59">
            <w:pPr>
              <w:spacing w:after="120"/>
              <w:jc w:val="center"/>
              <w:rPr>
                <w:sz w:val="18"/>
                <w:szCs w:val="20"/>
              </w:rPr>
            </w:pPr>
            <w:r w:rsidRPr="00621BF1">
              <w:rPr>
                <w:sz w:val="18"/>
                <w:szCs w:val="20"/>
              </w:rPr>
              <w:t>95</w:t>
            </w:r>
          </w:p>
        </w:tc>
        <w:tc>
          <w:tcPr>
            <w:tcW w:w="732" w:type="pct"/>
            <w:shd w:val="clear" w:color="auto" w:fill="auto"/>
            <w:vAlign w:val="center"/>
          </w:tcPr>
          <w:p w:rsidR="00BB1A59" w:rsidRPr="00621BF1" w:rsidRDefault="00BB1A59" w:rsidP="00BB1A59">
            <w:pPr>
              <w:spacing w:after="120"/>
              <w:jc w:val="center"/>
              <w:rPr>
                <w:sz w:val="18"/>
                <w:szCs w:val="20"/>
              </w:rPr>
            </w:pPr>
            <w:r w:rsidRPr="00621BF1">
              <w:rPr>
                <w:sz w:val="18"/>
                <w:szCs w:val="20"/>
              </w:rPr>
              <w:t>95</w:t>
            </w:r>
          </w:p>
        </w:tc>
        <w:tc>
          <w:tcPr>
            <w:tcW w:w="629" w:type="pct"/>
            <w:shd w:val="clear" w:color="auto" w:fill="auto"/>
            <w:vAlign w:val="center"/>
          </w:tcPr>
          <w:p w:rsidR="00BB1A59" w:rsidRPr="00621BF1" w:rsidRDefault="00BB1A59" w:rsidP="00BB1A59">
            <w:pPr>
              <w:spacing w:after="120"/>
              <w:jc w:val="center"/>
              <w:rPr>
                <w:sz w:val="18"/>
                <w:szCs w:val="20"/>
              </w:rPr>
            </w:pPr>
            <w:r w:rsidRPr="00621BF1">
              <w:rPr>
                <w:sz w:val="18"/>
                <w:szCs w:val="20"/>
              </w:rPr>
              <w:t>95</w:t>
            </w:r>
          </w:p>
        </w:tc>
      </w:tr>
      <w:tr w:rsidR="00FE3C35" w:rsidRPr="00621BF1" w:rsidTr="00BB1A59">
        <w:trPr>
          <w:trHeight w:val="300"/>
        </w:trPr>
        <w:tc>
          <w:tcPr>
            <w:tcW w:w="939" w:type="pct"/>
            <w:shd w:val="clear" w:color="auto" w:fill="auto"/>
            <w:vAlign w:val="center"/>
            <w:hideMark/>
          </w:tcPr>
          <w:p w:rsidR="00FE3C35" w:rsidRPr="00621BF1" w:rsidRDefault="00FE3C35" w:rsidP="00FE3C35">
            <w:pPr>
              <w:spacing w:after="120"/>
              <w:rPr>
                <w:sz w:val="18"/>
                <w:szCs w:val="20"/>
              </w:rPr>
            </w:pPr>
            <w:r w:rsidRPr="00621BF1">
              <w:rPr>
                <w:sz w:val="18"/>
                <w:szCs w:val="20"/>
              </w:rPr>
              <w:t>VAR</w:t>
            </w:r>
          </w:p>
        </w:tc>
        <w:tc>
          <w:tcPr>
            <w:tcW w:w="694" w:type="pct"/>
            <w:shd w:val="clear" w:color="auto" w:fill="auto"/>
          </w:tcPr>
          <w:p w:rsidR="00FE3C35" w:rsidRPr="00621BF1" w:rsidRDefault="00FE3C35" w:rsidP="00FE3C35">
            <w:pPr>
              <w:spacing w:after="120"/>
              <w:jc w:val="center"/>
              <w:rPr>
                <w:sz w:val="18"/>
                <w:szCs w:val="20"/>
              </w:rPr>
            </w:pPr>
            <w:r w:rsidRPr="00621BF1">
              <w:rPr>
                <w:sz w:val="18"/>
                <w:szCs w:val="20"/>
              </w:rPr>
              <w:t>63.5</w:t>
            </w:r>
          </w:p>
        </w:tc>
        <w:tc>
          <w:tcPr>
            <w:tcW w:w="703" w:type="pct"/>
            <w:shd w:val="clear" w:color="auto" w:fill="auto"/>
          </w:tcPr>
          <w:p w:rsidR="00FE3C35" w:rsidRPr="00621BF1" w:rsidRDefault="00FE3C35" w:rsidP="00FE3C35">
            <w:pPr>
              <w:spacing w:after="120"/>
              <w:jc w:val="center"/>
              <w:rPr>
                <w:sz w:val="18"/>
                <w:szCs w:val="20"/>
              </w:rPr>
            </w:pPr>
            <w:r w:rsidRPr="00621BF1">
              <w:rPr>
                <w:sz w:val="18"/>
                <w:szCs w:val="20"/>
              </w:rPr>
              <w:t>70</w:t>
            </w:r>
          </w:p>
        </w:tc>
        <w:tc>
          <w:tcPr>
            <w:tcW w:w="519" w:type="pct"/>
            <w:shd w:val="clear" w:color="auto" w:fill="auto"/>
            <w:vAlign w:val="center"/>
          </w:tcPr>
          <w:p w:rsidR="00FE3C35" w:rsidRPr="00621BF1" w:rsidRDefault="00FE3C35" w:rsidP="00FE3C35">
            <w:pPr>
              <w:spacing w:after="120"/>
              <w:jc w:val="center"/>
              <w:rPr>
                <w:sz w:val="18"/>
                <w:szCs w:val="20"/>
              </w:rPr>
            </w:pPr>
            <w:r w:rsidRPr="00621BF1">
              <w:rPr>
                <w:sz w:val="18"/>
                <w:szCs w:val="20"/>
              </w:rPr>
              <w:t>80</w:t>
            </w:r>
          </w:p>
        </w:tc>
        <w:tc>
          <w:tcPr>
            <w:tcW w:w="784" w:type="pct"/>
            <w:shd w:val="clear" w:color="auto" w:fill="auto"/>
            <w:vAlign w:val="center"/>
          </w:tcPr>
          <w:p w:rsidR="00FE3C35" w:rsidRPr="00621BF1" w:rsidRDefault="00FE3C35" w:rsidP="00FE3C35">
            <w:pPr>
              <w:spacing w:after="120"/>
              <w:jc w:val="center"/>
              <w:rPr>
                <w:sz w:val="18"/>
                <w:szCs w:val="20"/>
              </w:rPr>
            </w:pPr>
            <w:r w:rsidRPr="00621BF1">
              <w:rPr>
                <w:sz w:val="18"/>
                <w:szCs w:val="20"/>
              </w:rPr>
              <w:t>85</w:t>
            </w:r>
          </w:p>
        </w:tc>
        <w:tc>
          <w:tcPr>
            <w:tcW w:w="732" w:type="pct"/>
            <w:shd w:val="clear" w:color="auto" w:fill="auto"/>
            <w:vAlign w:val="center"/>
          </w:tcPr>
          <w:p w:rsidR="00FE3C35" w:rsidRPr="00621BF1" w:rsidRDefault="00FE3C35" w:rsidP="00FE3C35">
            <w:pPr>
              <w:spacing w:after="120"/>
              <w:jc w:val="center"/>
              <w:rPr>
                <w:sz w:val="18"/>
                <w:szCs w:val="20"/>
              </w:rPr>
            </w:pPr>
            <w:r w:rsidRPr="00621BF1">
              <w:rPr>
                <w:sz w:val="18"/>
                <w:szCs w:val="20"/>
              </w:rPr>
              <w:t>90</w:t>
            </w:r>
          </w:p>
        </w:tc>
        <w:tc>
          <w:tcPr>
            <w:tcW w:w="629" w:type="pct"/>
            <w:shd w:val="clear" w:color="auto" w:fill="auto"/>
            <w:vAlign w:val="center"/>
          </w:tcPr>
          <w:p w:rsidR="00FE3C35" w:rsidRPr="00621BF1" w:rsidRDefault="00FE3C35" w:rsidP="00FE3C35">
            <w:pPr>
              <w:spacing w:after="120"/>
              <w:jc w:val="center"/>
              <w:rPr>
                <w:sz w:val="18"/>
                <w:szCs w:val="20"/>
              </w:rPr>
            </w:pPr>
            <w:r>
              <w:rPr>
                <w:sz w:val="18"/>
                <w:szCs w:val="20"/>
              </w:rPr>
              <w:t>NA</w:t>
            </w:r>
          </w:p>
        </w:tc>
      </w:tr>
      <w:tr w:rsidR="00BB1A59" w:rsidRPr="00621BF1" w:rsidTr="00BB1A59">
        <w:trPr>
          <w:trHeight w:val="300"/>
        </w:trPr>
        <w:tc>
          <w:tcPr>
            <w:tcW w:w="939" w:type="pct"/>
            <w:shd w:val="clear" w:color="auto" w:fill="auto"/>
            <w:vAlign w:val="center"/>
            <w:hideMark/>
          </w:tcPr>
          <w:p w:rsidR="00BB1A59" w:rsidRPr="00621BF1" w:rsidRDefault="00BB1A59" w:rsidP="00BB1A59">
            <w:pPr>
              <w:spacing w:after="120"/>
              <w:rPr>
                <w:sz w:val="18"/>
                <w:szCs w:val="20"/>
              </w:rPr>
            </w:pPr>
            <w:r w:rsidRPr="00621BF1">
              <w:rPr>
                <w:sz w:val="18"/>
                <w:szCs w:val="20"/>
              </w:rPr>
              <w:t>VAA</w:t>
            </w:r>
          </w:p>
        </w:tc>
        <w:tc>
          <w:tcPr>
            <w:tcW w:w="694" w:type="pct"/>
            <w:shd w:val="clear" w:color="auto" w:fill="auto"/>
            <w:vAlign w:val="center"/>
          </w:tcPr>
          <w:p w:rsidR="00BB1A59" w:rsidRPr="00621BF1" w:rsidRDefault="00BB1A59" w:rsidP="00BB1A59">
            <w:pPr>
              <w:spacing w:after="120"/>
              <w:jc w:val="center"/>
              <w:rPr>
                <w:sz w:val="18"/>
                <w:szCs w:val="20"/>
              </w:rPr>
            </w:pPr>
            <w:r w:rsidRPr="00621BF1">
              <w:rPr>
                <w:sz w:val="18"/>
                <w:szCs w:val="20"/>
              </w:rPr>
              <w:t>62.8</w:t>
            </w:r>
          </w:p>
        </w:tc>
        <w:tc>
          <w:tcPr>
            <w:tcW w:w="703" w:type="pct"/>
            <w:shd w:val="clear" w:color="auto" w:fill="auto"/>
            <w:vAlign w:val="center"/>
          </w:tcPr>
          <w:p w:rsidR="00BB1A59" w:rsidRPr="00621BF1" w:rsidRDefault="00BB1A59" w:rsidP="00BB1A59">
            <w:pPr>
              <w:spacing w:after="120"/>
              <w:jc w:val="center"/>
              <w:rPr>
                <w:sz w:val="18"/>
                <w:szCs w:val="20"/>
              </w:rPr>
            </w:pPr>
            <w:r w:rsidRPr="00621BF1">
              <w:rPr>
                <w:sz w:val="18"/>
                <w:szCs w:val="20"/>
              </w:rPr>
              <w:t>70</w:t>
            </w:r>
          </w:p>
        </w:tc>
        <w:tc>
          <w:tcPr>
            <w:tcW w:w="519" w:type="pct"/>
            <w:shd w:val="clear" w:color="auto" w:fill="auto"/>
            <w:vAlign w:val="center"/>
          </w:tcPr>
          <w:p w:rsidR="00BB1A59" w:rsidRPr="00621BF1" w:rsidRDefault="00BB1A59" w:rsidP="00BB1A59">
            <w:pPr>
              <w:spacing w:after="120"/>
              <w:jc w:val="center"/>
              <w:rPr>
                <w:sz w:val="18"/>
                <w:szCs w:val="20"/>
              </w:rPr>
            </w:pPr>
            <w:r w:rsidRPr="00621BF1">
              <w:rPr>
                <w:sz w:val="18"/>
                <w:szCs w:val="20"/>
              </w:rPr>
              <w:t>80</w:t>
            </w:r>
          </w:p>
        </w:tc>
        <w:tc>
          <w:tcPr>
            <w:tcW w:w="784" w:type="pct"/>
            <w:shd w:val="clear" w:color="auto" w:fill="auto"/>
            <w:vAlign w:val="center"/>
          </w:tcPr>
          <w:p w:rsidR="00BB1A59" w:rsidRPr="00621BF1" w:rsidRDefault="00BB1A59" w:rsidP="00BB1A59">
            <w:pPr>
              <w:spacing w:after="120"/>
              <w:jc w:val="center"/>
              <w:rPr>
                <w:sz w:val="18"/>
                <w:szCs w:val="20"/>
              </w:rPr>
            </w:pPr>
            <w:r w:rsidRPr="00621BF1">
              <w:rPr>
                <w:sz w:val="18"/>
                <w:szCs w:val="20"/>
              </w:rPr>
              <w:t>85</w:t>
            </w:r>
          </w:p>
        </w:tc>
        <w:tc>
          <w:tcPr>
            <w:tcW w:w="732" w:type="pct"/>
            <w:shd w:val="clear" w:color="auto" w:fill="auto"/>
            <w:vAlign w:val="center"/>
          </w:tcPr>
          <w:p w:rsidR="00BB1A59" w:rsidRPr="00621BF1" w:rsidRDefault="00BB1A59" w:rsidP="00BB1A59">
            <w:pPr>
              <w:spacing w:after="120"/>
              <w:jc w:val="center"/>
              <w:rPr>
                <w:sz w:val="18"/>
                <w:szCs w:val="20"/>
              </w:rPr>
            </w:pPr>
            <w:r w:rsidRPr="00621BF1">
              <w:rPr>
                <w:sz w:val="18"/>
                <w:szCs w:val="20"/>
              </w:rPr>
              <w:t>90</w:t>
            </w:r>
          </w:p>
        </w:tc>
        <w:tc>
          <w:tcPr>
            <w:tcW w:w="629" w:type="pct"/>
            <w:shd w:val="clear" w:color="auto" w:fill="auto"/>
            <w:vAlign w:val="center"/>
          </w:tcPr>
          <w:p w:rsidR="00BB1A59" w:rsidRPr="00621BF1" w:rsidRDefault="00BB1A59" w:rsidP="00BB1A59">
            <w:pPr>
              <w:spacing w:after="120"/>
              <w:jc w:val="center"/>
              <w:rPr>
                <w:sz w:val="18"/>
                <w:szCs w:val="20"/>
              </w:rPr>
            </w:pPr>
            <w:r w:rsidRPr="00621BF1">
              <w:rPr>
                <w:sz w:val="18"/>
                <w:szCs w:val="20"/>
              </w:rPr>
              <w:t>95</w:t>
            </w:r>
          </w:p>
        </w:tc>
      </w:tr>
      <w:tr w:rsidR="00FE3C35" w:rsidRPr="00621BF1" w:rsidTr="00AA70AB">
        <w:trPr>
          <w:trHeight w:val="300"/>
        </w:trPr>
        <w:tc>
          <w:tcPr>
            <w:tcW w:w="939" w:type="pct"/>
            <w:shd w:val="clear" w:color="auto" w:fill="auto"/>
            <w:vAlign w:val="center"/>
            <w:hideMark/>
          </w:tcPr>
          <w:p w:rsidR="00FE3C35" w:rsidRPr="00621BF1" w:rsidRDefault="00FE3C35" w:rsidP="00FE3C35">
            <w:pPr>
              <w:spacing w:after="120"/>
              <w:rPr>
                <w:sz w:val="18"/>
                <w:szCs w:val="20"/>
              </w:rPr>
            </w:pPr>
            <w:r w:rsidRPr="00621BF1">
              <w:rPr>
                <w:sz w:val="18"/>
                <w:szCs w:val="20"/>
              </w:rPr>
              <w:t>VAT2+</w:t>
            </w:r>
            <w:r>
              <w:rPr>
                <w:sz w:val="18"/>
                <w:szCs w:val="20"/>
              </w:rPr>
              <w:t>/</w:t>
            </w:r>
          </w:p>
        </w:tc>
        <w:tc>
          <w:tcPr>
            <w:tcW w:w="694" w:type="pct"/>
            <w:shd w:val="clear" w:color="auto" w:fill="auto"/>
            <w:vAlign w:val="center"/>
          </w:tcPr>
          <w:p w:rsidR="00FE3C35" w:rsidRPr="00621BF1" w:rsidRDefault="00FE3C35" w:rsidP="00FE3C35">
            <w:pPr>
              <w:spacing w:after="120"/>
              <w:jc w:val="center"/>
              <w:rPr>
                <w:sz w:val="18"/>
                <w:szCs w:val="20"/>
              </w:rPr>
            </w:pPr>
            <w:r w:rsidRPr="00621BF1">
              <w:rPr>
                <w:sz w:val="18"/>
                <w:szCs w:val="20"/>
              </w:rPr>
              <w:t>74</w:t>
            </w:r>
          </w:p>
        </w:tc>
        <w:tc>
          <w:tcPr>
            <w:tcW w:w="703" w:type="pct"/>
            <w:shd w:val="clear" w:color="auto" w:fill="auto"/>
            <w:vAlign w:val="center"/>
          </w:tcPr>
          <w:p w:rsidR="00FE3C35" w:rsidRPr="00621BF1" w:rsidRDefault="00FE3C35" w:rsidP="00FE3C35">
            <w:pPr>
              <w:spacing w:after="120"/>
              <w:jc w:val="center"/>
              <w:rPr>
                <w:sz w:val="18"/>
                <w:szCs w:val="20"/>
              </w:rPr>
            </w:pPr>
            <w:r w:rsidRPr="00621BF1">
              <w:rPr>
                <w:sz w:val="18"/>
                <w:szCs w:val="20"/>
              </w:rPr>
              <w:t>80</w:t>
            </w:r>
          </w:p>
        </w:tc>
        <w:tc>
          <w:tcPr>
            <w:tcW w:w="519" w:type="pct"/>
            <w:shd w:val="clear" w:color="auto" w:fill="auto"/>
          </w:tcPr>
          <w:p w:rsidR="00FE3C35" w:rsidRPr="00621BF1" w:rsidRDefault="00FE3C35" w:rsidP="00FE3C35">
            <w:pPr>
              <w:spacing w:after="120"/>
              <w:jc w:val="center"/>
              <w:rPr>
                <w:sz w:val="18"/>
                <w:szCs w:val="20"/>
              </w:rPr>
            </w:pPr>
            <w:r w:rsidRPr="0099276E">
              <w:rPr>
                <w:sz w:val="18"/>
                <w:szCs w:val="20"/>
              </w:rPr>
              <w:t>NA</w:t>
            </w:r>
          </w:p>
        </w:tc>
        <w:tc>
          <w:tcPr>
            <w:tcW w:w="784" w:type="pct"/>
            <w:shd w:val="clear" w:color="auto" w:fill="auto"/>
            <w:hideMark/>
          </w:tcPr>
          <w:p w:rsidR="00FE3C35" w:rsidRPr="00621BF1" w:rsidRDefault="00FE3C35" w:rsidP="00FE3C35">
            <w:pPr>
              <w:spacing w:after="120"/>
              <w:jc w:val="center"/>
              <w:rPr>
                <w:sz w:val="18"/>
                <w:szCs w:val="20"/>
              </w:rPr>
            </w:pPr>
            <w:r w:rsidRPr="0099276E">
              <w:rPr>
                <w:sz w:val="18"/>
                <w:szCs w:val="20"/>
              </w:rPr>
              <w:t>NA</w:t>
            </w:r>
          </w:p>
        </w:tc>
        <w:tc>
          <w:tcPr>
            <w:tcW w:w="732" w:type="pct"/>
            <w:shd w:val="clear" w:color="auto" w:fill="auto"/>
            <w:hideMark/>
          </w:tcPr>
          <w:p w:rsidR="00FE3C35" w:rsidRPr="00621BF1" w:rsidRDefault="00FE3C35" w:rsidP="00FE3C35">
            <w:pPr>
              <w:spacing w:after="120"/>
              <w:jc w:val="center"/>
              <w:rPr>
                <w:sz w:val="18"/>
                <w:szCs w:val="20"/>
              </w:rPr>
            </w:pPr>
            <w:r w:rsidRPr="0099276E">
              <w:rPr>
                <w:sz w:val="18"/>
                <w:szCs w:val="20"/>
              </w:rPr>
              <w:t>NA</w:t>
            </w:r>
          </w:p>
        </w:tc>
        <w:tc>
          <w:tcPr>
            <w:tcW w:w="629" w:type="pct"/>
            <w:shd w:val="clear" w:color="auto" w:fill="auto"/>
            <w:hideMark/>
          </w:tcPr>
          <w:p w:rsidR="00FE3C35" w:rsidRPr="00621BF1" w:rsidRDefault="00FE3C35" w:rsidP="00FE3C35">
            <w:pPr>
              <w:spacing w:after="120"/>
              <w:jc w:val="center"/>
              <w:rPr>
                <w:sz w:val="18"/>
                <w:szCs w:val="20"/>
              </w:rPr>
            </w:pPr>
            <w:r w:rsidRPr="0099276E">
              <w:rPr>
                <w:sz w:val="18"/>
                <w:szCs w:val="20"/>
              </w:rPr>
              <w:t>NA</w:t>
            </w:r>
          </w:p>
        </w:tc>
      </w:tr>
    </w:tbl>
    <w:p w:rsidR="00A76AE5" w:rsidRPr="00621BF1" w:rsidRDefault="00C47FF0" w:rsidP="00431B9D">
      <w:pPr>
        <w:rPr>
          <w:sz w:val="18"/>
          <w:lang w:val="fr-BE"/>
        </w:rPr>
      </w:pPr>
      <w:r w:rsidRPr="00621BF1">
        <w:rPr>
          <w:sz w:val="18"/>
          <w:lang w:val="fr-BE"/>
        </w:rPr>
        <w:t>Sources : Enquête couverture vaccinale et JRF 2015_Guinée</w:t>
      </w:r>
    </w:p>
    <w:p w:rsidR="004E32E1" w:rsidRPr="00621BF1" w:rsidRDefault="004E32E1" w:rsidP="004E32E1">
      <w:pPr>
        <w:pStyle w:val="Lgende"/>
        <w:rPr>
          <w:szCs w:val="24"/>
        </w:rPr>
      </w:pPr>
      <w:bookmarkStart w:id="174" w:name="_Toc456109491"/>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25</w:t>
      </w:r>
      <w:r w:rsidR="00B51B2E" w:rsidRPr="00621BF1">
        <w:fldChar w:fldCharType="end"/>
      </w:r>
      <w:r w:rsidRPr="00621BF1">
        <w:t>: Objectifs de taux de pertes par antigène de 2016 à 2020</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8"/>
        <w:gridCol w:w="1578"/>
        <w:gridCol w:w="1578"/>
        <w:gridCol w:w="1578"/>
        <w:gridCol w:w="1578"/>
        <w:gridCol w:w="1576"/>
      </w:tblGrid>
      <w:tr w:rsidR="004E32E1" w:rsidRPr="00621BF1" w:rsidTr="004E32E1">
        <w:trPr>
          <w:trHeight w:val="420"/>
        </w:trPr>
        <w:tc>
          <w:tcPr>
            <w:tcW w:w="1011" w:type="pct"/>
            <w:shd w:val="clear" w:color="auto" w:fill="C45911" w:themeFill="accent2" w:themeFillShade="BF"/>
            <w:noWrap/>
            <w:vAlign w:val="bottom"/>
          </w:tcPr>
          <w:p w:rsidR="004E32E1" w:rsidRPr="00621BF1" w:rsidRDefault="004E32E1" w:rsidP="004C7B6E">
            <w:pPr>
              <w:spacing w:after="0" w:line="240" w:lineRule="auto"/>
              <w:jc w:val="both"/>
              <w:rPr>
                <w:rFonts w:eastAsia="Times New Roman" w:cs="Arial"/>
                <w:color w:val="FFFFFF" w:themeColor="background1"/>
                <w:sz w:val="24"/>
                <w:szCs w:val="24"/>
                <w:lang w:eastAsia="fr-FR"/>
              </w:rPr>
            </w:pPr>
            <w:r w:rsidRPr="00621BF1">
              <w:rPr>
                <w:rFonts w:eastAsia="Times New Roman" w:cs="Arial"/>
                <w:color w:val="FFFFFF" w:themeColor="background1"/>
                <w:sz w:val="24"/>
                <w:szCs w:val="24"/>
                <w:lang w:eastAsia="fr-FR"/>
              </w:rPr>
              <w:t>Antigène</w:t>
            </w:r>
          </w:p>
        </w:tc>
        <w:tc>
          <w:tcPr>
            <w:tcW w:w="798" w:type="pct"/>
            <w:shd w:val="clear" w:color="auto" w:fill="C45911" w:themeFill="accent2" w:themeFillShade="BF"/>
            <w:noWrap/>
            <w:vAlign w:val="bottom"/>
          </w:tcPr>
          <w:p w:rsidR="004E32E1" w:rsidRPr="00621BF1" w:rsidRDefault="004E32E1" w:rsidP="004C7B6E">
            <w:pPr>
              <w:spacing w:after="0" w:line="240" w:lineRule="auto"/>
              <w:jc w:val="both"/>
              <w:rPr>
                <w:rFonts w:eastAsia="Times New Roman" w:cs="Arial"/>
                <w:color w:val="FFFFFF" w:themeColor="background1"/>
                <w:sz w:val="24"/>
                <w:szCs w:val="24"/>
                <w:lang w:eastAsia="fr-FR"/>
              </w:rPr>
            </w:pPr>
            <w:r w:rsidRPr="00621BF1">
              <w:rPr>
                <w:rFonts w:eastAsia="Times New Roman" w:cs="Arial"/>
                <w:color w:val="FFFFFF" w:themeColor="background1"/>
                <w:sz w:val="24"/>
                <w:szCs w:val="24"/>
                <w:lang w:eastAsia="fr-FR"/>
              </w:rPr>
              <w:t>2016</w:t>
            </w:r>
          </w:p>
        </w:tc>
        <w:tc>
          <w:tcPr>
            <w:tcW w:w="798" w:type="pct"/>
            <w:shd w:val="clear" w:color="auto" w:fill="C45911" w:themeFill="accent2" w:themeFillShade="BF"/>
            <w:noWrap/>
            <w:vAlign w:val="bottom"/>
          </w:tcPr>
          <w:p w:rsidR="004E32E1" w:rsidRPr="00621BF1" w:rsidRDefault="004E32E1" w:rsidP="004C7B6E">
            <w:pPr>
              <w:spacing w:after="0" w:line="240" w:lineRule="auto"/>
              <w:jc w:val="both"/>
              <w:rPr>
                <w:rFonts w:eastAsia="Times New Roman" w:cs="Arial"/>
                <w:color w:val="FFFFFF" w:themeColor="background1"/>
                <w:sz w:val="24"/>
                <w:szCs w:val="24"/>
                <w:lang w:eastAsia="fr-FR"/>
              </w:rPr>
            </w:pPr>
            <w:r w:rsidRPr="00621BF1">
              <w:rPr>
                <w:rFonts w:eastAsia="Times New Roman" w:cs="Arial"/>
                <w:color w:val="FFFFFF" w:themeColor="background1"/>
                <w:sz w:val="24"/>
                <w:szCs w:val="24"/>
                <w:lang w:eastAsia="fr-FR"/>
              </w:rPr>
              <w:t>2017</w:t>
            </w:r>
          </w:p>
        </w:tc>
        <w:tc>
          <w:tcPr>
            <w:tcW w:w="798" w:type="pct"/>
            <w:shd w:val="clear" w:color="auto" w:fill="C45911" w:themeFill="accent2" w:themeFillShade="BF"/>
            <w:noWrap/>
            <w:vAlign w:val="bottom"/>
          </w:tcPr>
          <w:p w:rsidR="004E32E1" w:rsidRPr="00621BF1" w:rsidRDefault="004E32E1" w:rsidP="004C7B6E">
            <w:pPr>
              <w:spacing w:after="0" w:line="240" w:lineRule="auto"/>
              <w:jc w:val="both"/>
              <w:rPr>
                <w:rFonts w:eastAsia="Times New Roman" w:cs="Arial"/>
                <w:color w:val="FFFFFF" w:themeColor="background1"/>
                <w:sz w:val="24"/>
                <w:szCs w:val="24"/>
                <w:lang w:eastAsia="fr-FR"/>
              </w:rPr>
            </w:pPr>
            <w:r w:rsidRPr="00621BF1">
              <w:rPr>
                <w:rFonts w:eastAsia="Times New Roman" w:cs="Arial"/>
                <w:color w:val="FFFFFF" w:themeColor="background1"/>
                <w:sz w:val="24"/>
                <w:szCs w:val="24"/>
                <w:lang w:eastAsia="fr-FR"/>
              </w:rPr>
              <w:t>2018</w:t>
            </w:r>
          </w:p>
        </w:tc>
        <w:tc>
          <w:tcPr>
            <w:tcW w:w="798" w:type="pct"/>
            <w:shd w:val="clear" w:color="auto" w:fill="C45911" w:themeFill="accent2" w:themeFillShade="BF"/>
            <w:noWrap/>
            <w:vAlign w:val="bottom"/>
          </w:tcPr>
          <w:p w:rsidR="004E32E1" w:rsidRPr="00621BF1" w:rsidRDefault="004E32E1" w:rsidP="004C7B6E">
            <w:pPr>
              <w:spacing w:after="0" w:line="240" w:lineRule="auto"/>
              <w:jc w:val="both"/>
              <w:rPr>
                <w:rFonts w:eastAsia="Times New Roman" w:cs="Arial"/>
                <w:color w:val="FFFFFF" w:themeColor="background1"/>
                <w:sz w:val="24"/>
                <w:szCs w:val="24"/>
                <w:lang w:eastAsia="fr-FR"/>
              </w:rPr>
            </w:pPr>
            <w:r w:rsidRPr="00621BF1">
              <w:rPr>
                <w:rFonts w:eastAsia="Times New Roman" w:cs="Arial"/>
                <w:color w:val="FFFFFF" w:themeColor="background1"/>
                <w:sz w:val="24"/>
                <w:szCs w:val="24"/>
                <w:lang w:eastAsia="fr-FR"/>
              </w:rPr>
              <w:t>2019</w:t>
            </w:r>
          </w:p>
        </w:tc>
        <w:tc>
          <w:tcPr>
            <w:tcW w:w="797" w:type="pct"/>
            <w:shd w:val="clear" w:color="auto" w:fill="C45911" w:themeFill="accent2" w:themeFillShade="BF"/>
            <w:noWrap/>
            <w:vAlign w:val="bottom"/>
          </w:tcPr>
          <w:p w:rsidR="004E32E1" w:rsidRPr="00621BF1" w:rsidRDefault="004E32E1" w:rsidP="004C7B6E">
            <w:pPr>
              <w:spacing w:after="0" w:line="240" w:lineRule="auto"/>
              <w:jc w:val="both"/>
              <w:rPr>
                <w:rFonts w:eastAsia="Times New Roman" w:cs="Arial"/>
                <w:color w:val="FFFFFF" w:themeColor="background1"/>
                <w:sz w:val="24"/>
                <w:szCs w:val="24"/>
                <w:lang w:eastAsia="fr-FR"/>
              </w:rPr>
            </w:pPr>
            <w:r w:rsidRPr="00621BF1">
              <w:rPr>
                <w:rFonts w:eastAsia="Times New Roman" w:cs="Arial"/>
                <w:color w:val="FFFFFF" w:themeColor="background1"/>
                <w:sz w:val="24"/>
                <w:szCs w:val="24"/>
                <w:lang w:eastAsia="fr-FR"/>
              </w:rPr>
              <w:t>2020</w:t>
            </w:r>
          </w:p>
        </w:tc>
      </w:tr>
      <w:tr w:rsidR="004E32E1" w:rsidRPr="00621BF1" w:rsidTr="004E32E1">
        <w:trPr>
          <w:trHeight w:val="315"/>
        </w:trPr>
        <w:tc>
          <w:tcPr>
            <w:tcW w:w="1011" w:type="pct"/>
            <w:shd w:val="clear" w:color="auto" w:fill="auto"/>
            <w:noWrap/>
            <w:vAlign w:val="bottom"/>
          </w:tcPr>
          <w:p w:rsidR="004E32E1" w:rsidRPr="00621BF1" w:rsidRDefault="004E32E1" w:rsidP="004C7B6E">
            <w:pPr>
              <w:spacing w:after="0" w:line="240" w:lineRule="auto"/>
              <w:jc w:val="both"/>
              <w:rPr>
                <w:rFonts w:eastAsia="Times New Roman" w:cs="Arial"/>
                <w:color w:val="000000"/>
                <w:sz w:val="24"/>
                <w:szCs w:val="24"/>
                <w:lang w:eastAsia="fr-FR"/>
              </w:rPr>
            </w:pPr>
            <w:r w:rsidRPr="00621BF1">
              <w:rPr>
                <w:rFonts w:eastAsia="Times New Roman" w:cs="Arial"/>
                <w:color w:val="000000"/>
                <w:sz w:val="24"/>
                <w:szCs w:val="24"/>
                <w:lang w:eastAsia="fr-FR"/>
              </w:rPr>
              <w:t>BCG</w:t>
            </w:r>
          </w:p>
        </w:tc>
        <w:tc>
          <w:tcPr>
            <w:tcW w:w="798" w:type="pct"/>
            <w:shd w:val="clear" w:color="auto" w:fill="auto"/>
            <w:noWrap/>
            <w:vAlign w:val="bottom"/>
          </w:tcPr>
          <w:p w:rsidR="004E32E1" w:rsidRPr="00621BF1" w:rsidRDefault="00B348AA"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20</w:t>
            </w:r>
            <w:r w:rsidR="004E32E1" w:rsidRPr="00621BF1">
              <w:rPr>
                <w:rFonts w:eastAsia="Times New Roman" w:cs="Arial"/>
                <w:sz w:val="24"/>
                <w:szCs w:val="24"/>
                <w:lang w:eastAsia="fr-FR"/>
              </w:rPr>
              <w:t>%</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20%</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20%</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20%</w:t>
            </w:r>
          </w:p>
        </w:tc>
        <w:tc>
          <w:tcPr>
            <w:tcW w:w="797"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20%</w:t>
            </w:r>
          </w:p>
        </w:tc>
      </w:tr>
      <w:tr w:rsidR="004E32E1" w:rsidRPr="00621BF1" w:rsidTr="004E32E1">
        <w:trPr>
          <w:trHeight w:val="315"/>
        </w:trPr>
        <w:tc>
          <w:tcPr>
            <w:tcW w:w="1011" w:type="pct"/>
            <w:shd w:val="clear" w:color="auto" w:fill="auto"/>
            <w:noWrap/>
            <w:vAlign w:val="bottom"/>
          </w:tcPr>
          <w:p w:rsidR="004E32E1" w:rsidRPr="00621BF1" w:rsidRDefault="004E32E1" w:rsidP="004C7B6E">
            <w:pPr>
              <w:spacing w:after="0" w:line="240" w:lineRule="auto"/>
              <w:jc w:val="both"/>
              <w:rPr>
                <w:rFonts w:eastAsia="Times New Roman" w:cs="Arial"/>
                <w:color w:val="000000"/>
                <w:sz w:val="24"/>
                <w:szCs w:val="24"/>
                <w:lang w:eastAsia="fr-FR"/>
              </w:rPr>
            </w:pPr>
            <w:r w:rsidRPr="00621BF1">
              <w:rPr>
                <w:rFonts w:eastAsia="Times New Roman" w:cs="Arial"/>
                <w:color w:val="000000"/>
                <w:sz w:val="24"/>
                <w:szCs w:val="24"/>
                <w:lang w:eastAsia="fr-FR"/>
              </w:rPr>
              <w:t>Rougeole</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25%</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20%</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20%</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20%</w:t>
            </w:r>
          </w:p>
        </w:tc>
        <w:tc>
          <w:tcPr>
            <w:tcW w:w="797"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20%</w:t>
            </w:r>
          </w:p>
        </w:tc>
      </w:tr>
      <w:tr w:rsidR="004E32E1" w:rsidRPr="00621BF1" w:rsidTr="004E32E1">
        <w:trPr>
          <w:trHeight w:val="315"/>
        </w:trPr>
        <w:tc>
          <w:tcPr>
            <w:tcW w:w="1011" w:type="pct"/>
            <w:shd w:val="clear" w:color="auto" w:fill="auto"/>
            <w:noWrap/>
            <w:vAlign w:val="bottom"/>
          </w:tcPr>
          <w:p w:rsidR="004E32E1" w:rsidRPr="00621BF1" w:rsidRDefault="004E32E1" w:rsidP="004C7B6E">
            <w:pPr>
              <w:spacing w:after="0" w:line="240" w:lineRule="auto"/>
              <w:jc w:val="both"/>
              <w:rPr>
                <w:rFonts w:eastAsia="Times New Roman" w:cs="Arial"/>
                <w:color w:val="000000"/>
                <w:sz w:val="24"/>
                <w:szCs w:val="24"/>
                <w:lang w:eastAsia="fr-FR"/>
              </w:rPr>
            </w:pPr>
            <w:r w:rsidRPr="00621BF1">
              <w:rPr>
                <w:rFonts w:eastAsia="Times New Roman" w:cs="Arial"/>
                <w:color w:val="000000"/>
                <w:sz w:val="24"/>
                <w:szCs w:val="24"/>
                <w:lang w:eastAsia="fr-FR"/>
              </w:rPr>
              <w:t>Polio</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15%</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c>
          <w:tcPr>
            <w:tcW w:w="797"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r>
      <w:tr w:rsidR="004E32E1" w:rsidRPr="00621BF1" w:rsidTr="004E32E1">
        <w:trPr>
          <w:trHeight w:val="315"/>
        </w:trPr>
        <w:tc>
          <w:tcPr>
            <w:tcW w:w="1011" w:type="pct"/>
            <w:shd w:val="clear" w:color="auto" w:fill="auto"/>
            <w:noWrap/>
            <w:vAlign w:val="bottom"/>
          </w:tcPr>
          <w:p w:rsidR="004E32E1" w:rsidRPr="00621BF1" w:rsidRDefault="004E32E1" w:rsidP="004C7B6E">
            <w:pPr>
              <w:spacing w:after="0" w:line="240" w:lineRule="auto"/>
              <w:jc w:val="both"/>
              <w:rPr>
                <w:rFonts w:eastAsia="Times New Roman" w:cs="Arial"/>
                <w:color w:val="000000"/>
                <w:sz w:val="24"/>
                <w:szCs w:val="24"/>
                <w:lang w:eastAsia="fr-FR"/>
              </w:rPr>
            </w:pPr>
            <w:r w:rsidRPr="00621BF1">
              <w:rPr>
                <w:rFonts w:eastAsia="Times New Roman" w:cs="Arial"/>
                <w:color w:val="000000"/>
                <w:sz w:val="24"/>
                <w:szCs w:val="24"/>
                <w:lang w:eastAsia="fr-FR"/>
              </w:rPr>
              <w:t>TT</w:t>
            </w:r>
          </w:p>
        </w:tc>
        <w:tc>
          <w:tcPr>
            <w:tcW w:w="798" w:type="pct"/>
            <w:shd w:val="clear" w:color="auto" w:fill="auto"/>
            <w:noWrap/>
            <w:vAlign w:val="bottom"/>
          </w:tcPr>
          <w:p w:rsidR="004E32E1" w:rsidRPr="00621BF1" w:rsidRDefault="00B348AA"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r w:rsidR="004E32E1" w:rsidRPr="00621BF1">
              <w:rPr>
                <w:rFonts w:eastAsia="Times New Roman" w:cs="Arial"/>
                <w:sz w:val="24"/>
                <w:szCs w:val="24"/>
                <w:lang w:eastAsia="fr-FR"/>
              </w:rPr>
              <w:t>%</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c>
          <w:tcPr>
            <w:tcW w:w="797"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r>
      <w:tr w:rsidR="004E32E1" w:rsidRPr="00621BF1" w:rsidTr="004E32E1">
        <w:trPr>
          <w:trHeight w:val="315"/>
        </w:trPr>
        <w:tc>
          <w:tcPr>
            <w:tcW w:w="1011" w:type="pct"/>
            <w:shd w:val="clear" w:color="auto" w:fill="auto"/>
            <w:noWrap/>
            <w:vAlign w:val="bottom"/>
          </w:tcPr>
          <w:p w:rsidR="004E32E1" w:rsidRPr="00621BF1" w:rsidRDefault="004E32E1" w:rsidP="004C7B6E">
            <w:pPr>
              <w:spacing w:after="0" w:line="240" w:lineRule="auto"/>
              <w:jc w:val="both"/>
              <w:rPr>
                <w:rFonts w:eastAsia="Times New Roman" w:cs="Arial"/>
                <w:color w:val="000000"/>
                <w:sz w:val="24"/>
                <w:szCs w:val="24"/>
                <w:lang w:eastAsia="fr-FR"/>
              </w:rPr>
            </w:pPr>
            <w:r w:rsidRPr="00621BF1">
              <w:rPr>
                <w:rFonts w:eastAsia="Times New Roman" w:cs="Arial"/>
                <w:color w:val="000000"/>
                <w:sz w:val="24"/>
                <w:szCs w:val="24"/>
                <w:lang w:eastAsia="fr-FR"/>
              </w:rPr>
              <w:t>DTC-</w:t>
            </w:r>
            <w:proofErr w:type="spellStart"/>
            <w:r w:rsidRPr="00621BF1">
              <w:rPr>
                <w:rFonts w:eastAsia="Times New Roman" w:cs="Arial"/>
                <w:color w:val="000000"/>
                <w:sz w:val="24"/>
                <w:szCs w:val="24"/>
                <w:lang w:eastAsia="fr-FR"/>
              </w:rPr>
              <w:t>HepB</w:t>
            </w:r>
            <w:proofErr w:type="spellEnd"/>
            <w:r w:rsidRPr="00621BF1">
              <w:rPr>
                <w:rFonts w:eastAsia="Times New Roman" w:cs="Arial"/>
                <w:color w:val="000000"/>
                <w:sz w:val="24"/>
                <w:szCs w:val="24"/>
                <w:lang w:eastAsia="fr-FR"/>
              </w:rPr>
              <w:t>-</w:t>
            </w:r>
            <w:proofErr w:type="spellStart"/>
            <w:r w:rsidRPr="00621BF1">
              <w:rPr>
                <w:rFonts w:eastAsia="Times New Roman" w:cs="Arial"/>
                <w:color w:val="000000"/>
                <w:sz w:val="24"/>
                <w:szCs w:val="24"/>
                <w:lang w:eastAsia="fr-FR"/>
              </w:rPr>
              <w:t>Hib</w:t>
            </w:r>
            <w:proofErr w:type="spellEnd"/>
          </w:p>
        </w:tc>
        <w:tc>
          <w:tcPr>
            <w:tcW w:w="798" w:type="pct"/>
            <w:shd w:val="clear" w:color="auto" w:fill="auto"/>
            <w:noWrap/>
            <w:vAlign w:val="bottom"/>
          </w:tcPr>
          <w:p w:rsidR="004E32E1" w:rsidRPr="00621BF1" w:rsidRDefault="00B348AA"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5</w:t>
            </w:r>
            <w:r w:rsidR="004E32E1" w:rsidRPr="00621BF1">
              <w:rPr>
                <w:rFonts w:eastAsia="Times New Roman" w:cs="Arial"/>
                <w:sz w:val="24"/>
                <w:szCs w:val="24"/>
                <w:lang w:eastAsia="fr-FR"/>
              </w:rPr>
              <w:t>%</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5%</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5%</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5%</w:t>
            </w:r>
          </w:p>
        </w:tc>
        <w:tc>
          <w:tcPr>
            <w:tcW w:w="797"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5%</w:t>
            </w:r>
          </w:p>
        </w:tc>
      </w:tr>
      <w:tr w:rsidR="004E32E1" w:rsidRPr="00621BF1" w:rsidTr="004E32E1">
        <w:trPr>
          <w:trHeight w:val="315"/>
        </w:trPr>
        <w:tc>
          <w:tcPr>
            <w:tcW w:w="1011" w:type="pct"/>
            <w:shd w:val="clear" w:color="auto" w:fill="auto"/>
            <w:noWrap/>
            <w:vAlign w:val="bottom"/>
          </w:tcPr>
          <w:p w:rsidR="004E32E1" w:rsidRPr="00621BF1" w:rsidRDefault="004E32E1" w:rsidP="004C7B6E">
            <w:pPr>
              <w:spacing w:after="0" w:line="240" w:lineRule="auto"/>
              <w:jc w:val="both"/>
              <w:rPr>
                <w:rFonts w:eastAsia="Times New Roman" w:cs="Arial"/>
                <w:color w:val="000000"/>
                <w:sz w:val="24"/>
                <w:szCs w:val="24"/>
                <w:lang w:eastAsia="fr-FR"/>
              </w:rPr>
            </w:pPr>
            <w:r w:rsidRPr="00621BF1">
              <w:rPr>
                <w:rFonts w:eastAsia="Times New Roman" w:cs="Arial"/>
                <w:color w:val="000000"/>
                <w:sz w:val="24"/>
                <w:szCs w:val="24"/>
                <w:lang w:eastAsia="fr-FR"/>
              </w:rPr>
              <w:t>Fièvre Jaune</w:t>
            </w:r>
          </w:p>
        </w:tc>
        <w:tc>
          <w:tcPr>
            <w:tcW w:w="798" w:type="pct"/>
            <w:shd w:val="clear" w:color="auto" w:fill="auto"/>
            <w:noWrap/>
            <w:vAlign w:val="bottom"/>
          </w:tcPr>
          <w:p w:rsidR="004E32E1" w:rsidRPr="00621BF1" w:rsidRDefault="00B348AA"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r w:rsidR="004E32E1" w:rsidRPr="00621BF1">
              <w:rPr>
                <w:rFonts w:eastAsia="Times New Roman" w:cs="Arial"/>
                <w:sz w:val="24"/>
                <w:szCs w:val="24"/>
                <w:lang w:eastAsia="fr-FR"/>
              </w:rPr>
              <w:t>%</w:t>
            </w:r>
          </w:p>
        </w:tc>
        <w:tc>
          <w:tcPr>
            <w:tcW w:w="798" w:type="pct"/>
            <w:shd w:val="clear" w:color="auto" w:fill="auto"/>
            <w:noWrap/>
            <w:vAlign w:val="bottom"/>
          </w:tcPr>
          <w:p w:rsidR="004E32E1" w:rsidRPr="00621BF1" w:rsidRDefault="00B348AA"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w:t>
            </w:r>
            <w:r w:rsidR="004E32E1" w:rsidRPr="00621BF1">
              <w:rPr>
                <w:rFonts w:eastAsia="Times New Roman" w:cs="Arial"/>
                <w:sz w:val="24"/>
                <w:szCs w:val="24"/>
                <w:lang w:eastAsia="fr-FR"/>
              </w:rPr>
              <w:t>0%</w:t>
            </w:r>
          </w:p>
        </w:tc>
        <w:tc>
          <w:tcPr>
            <w:tcW w:w="798" w:type="pct"/>
            <w:shd w:val="clear" w:color="auto" w:fill="auto"/>
            <w:noWrap/>
            <w:vAlign w:val="bottom"/>
          </w:tcPr>
          <w:p w:rsidR="004E32E1" w:rsidRPr="00621BF1" w:rsidRDefault="00B348AA"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w:t>
            </w:r>
            <w:r w:rsidR="004E32E1" w:rsidRPr="00621BF1">
              <w:rPr>
                <w:rFonts w:eastAsia="Times New Roman" w:cs="Arial"/>
                <w:sz w:val="24"/>
                <w:szCs w:val="24"/>
                <w:lang w:eastAsia="fr-FR"/>
              </w:rPr>
              <w:t>0%</w:t>
            </w:r>
          </w:p>
        </w:tc>
        <w:tc>
          <w:tcPr>
            <w:tcW w:w="798" w:type="pct"/>
            <w:shd w:val="clear" w:color="auto" w:fill="auto"/>
            <w:noWrap/>
            <w:vAlign w:val="bottom"/>
          </w:tcPr>
          <w:p w:rsidR="004E32E1" w:rsidRPr="00621BF1" w:rsidRDefault="00B348AA"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w:t>
            </w:r>
            <w:r w:rsidR="004E32E1" w:rsidRPr="00621BF1">
              <w:rPr>
                <w:rFonts w:eastAsia="Times New Roman" w:cs="Arial"/>
                <w:sz w:val="24"/>
                <w:szCs w:val="24"/>
                <w:lang w:eastAsia="fr-FR"/>
              </w:rPr>
              <w:t>0%</w:t>
            </w:r>
          </w:p>
        </w:tc>
        <w:tc>
          <w:tcPr>
            <w:tcW w:w="797" w:type="pct"/>
            <w:shd w:val="clear" w:color="auto" w:fill="auto"/>
            <w:noWrap/>
            <w:vAlign w:val="bottom"/>
          </w:tcPr>
          <w:p w:rsidR="004E32E1" w:rsidRPr="00621BF1" w:rsidRDefault="00B348AA"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w:t>
            </w:r>
            <w:r w:rsidR="004E32E1" w:rsidRPr="00621BF1">
              <w:rPr>
                <w:rFonts w:eastAsia="Times New Roman" w:cs="Arial"/>
                <w:sz w:val="24"/>
                <w:szCs w:val="24"/>
                <w:lang w:eastAsia="fr-FR"/>
              </w:rPr>
              <w:t>0%</w:t>
            </w:r>
          </w:p>
        </w:tc>
      </w:tr>
      <w:tr w:rsidR="004E32E1" w:rsidRPr="00621BF1" w:rsidTr="004E32E1">
        <w:trPr>
          <w:trHeight w:val="315"/>
        </w:trPr>
        <w:tc>
          <w:tcPr>
            <w:tcW w:w="1011" w:type="pct"/>
            <w:shd w:val="clear" w:color="auto" w:fill="auto"/>
            <w:noWrap/>
            <w:vAlign w:val="bottom"/>
          </w:tcPr>
          <w:p w:rsidR="004E32E1" w:rsidRPr="00621BF1" w:rsidRDefault="004E32E1" w:rsidP="004C7B6E">
            <w:pPr>
              <w:spacing w:after="0" w:line="240" w:lineRule="auto"/>
              <w:jc w:val="both"/>
              <w:rPr>
                <w:rFonts w:eastAsia="Times New Roman" w:cs="Arial"/>
                <w:color w:val="000000"/>
                <w:sz w:val="24"/>
                <w:szCs w:val="24"/>
                <w:lang w:eastAsia="fr-FR"/>
              </w:rPr>
            </w:pPr>
            <w:r w:rsidRPr="00621BF1">
              <w:rPr>
                <w:rFonts w:eastAsia="Times New Roman" w:cs="Arial"/>
                <w:color w:val="000000"/>
                <w:sz w:val="24"/>
                <w:szCs w:val="24"/>
                <w:lang w:eastAsia="fr-FR"/>
              </w:rPr>
              <w:t>PCV-13</w:t>
            </w:r>
          </w:p>
        </w:tc>
        <w:tc>
          <w:tcPr>
            <w:tcW w:w="798" w:type="pct"/>
            <w:shd w:val="clear" w:color="auto" w:fill="auto"/>
            <w:noWrap/>
            <w:vAlign w:val="bottom"/>
          </w:tcPr>
          <w:p w:rsidR="004E32E1" w:rsidRPr="00621BF1" w:rsidRDefault="00813A59"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NA</w:t>
            </w:r>
          </w:p>
        </w:tc>
        <w:tc>
          <w:tcPr>
            <w:tcW w:w="798" w:type="pct"/>
            <w:shd w:val="clear" w:color="auto" w:fill="auto"/>
            <w:noWrap/>
            <w:vAlign w:val="bottom"/>
          </w:tcPr>
          <w:p w:rsidR="004E32E1" w:rsidRPr="00621BF1" w:rsidRDefault="00813A59"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NA</w:t>
            </w:r>
          </w:p>
        </w:tc>
        <w:tc>
          <w:tcPr>
            <w:tcW w:w="798" w:type="pct"/>
            <w:shd w:val="clear" w:color="auto" w:fill="auto"/>
            <w:noWrap/>
            <w:vAlign w:val="bottom"/>
          </w:tcPr>
          <w:p w:rsidR="004E32E1" w:rsidRPr="00621BF1" w:rsidRDefault="00813A59" w:rsidP="004C7B6E">
            <w:pPr>
              <w:spacing w:after="0" w:line="240" w:lineRule="auto"/>
              <w:jc w:val="center"/>
              <w:rPr>
                <w:rFonts w:eastAsia="Times New Roman" w:cs="Arial"/>
                <w:sz w:val="24"/>
                <w:szCs w:val="24"/>
                <w:lang w:eastAsia="fr-FR"/>
              </w:rPr>
            </w:pPr>
            <w:r>
              <w:rPr>
                <w:rFonts w:eastAsia="Times New Roman" w:cs="Arial"/>
                <w:sz w:val="24"/>
                <w:szCs w:val="24"/>
                <w:lang w:eastAsia="fr-FR"/>
              </w:rPr>
              <w:t>NA</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5%</w:t>
            </w:r>
          </w:p>
        </w:tc>
        <w:tc>
          <w:tcPr>
            <w:tcW w:w="797"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5%</w:t>
            </w:r>
          </w:p>
        </w:tc>
      </w:tr>
      <w:tr w:rsidR="004E32E1" w:rsidRPr="00621BF1" w:rsidTr="004E32E1">
        <w:trPr>
          <w:trHeight w:val="315"/>
        </w:trPr>
        <w:tc>
          <w:tcPr>
            <w:tcW w:w="1011" w:type="pct"/>
            <w:shd w:val="clear" w:color="auto" w:fill="auto"/>
            <w:noWrap/>
            <w:vAlign w:val="bottom"/>
          </w:tcPr>
          <w:p w:rsidR="004E32E1" w:rsidRPr="00621BF1" w:rsidRDefault="004E32E1" w:rsidP="004C7B6E">
            <w:pPr>
              <w:spacing w:after="0" w:line="240" w:lineRule="auto"/>
              <w:jc w:val="both"/>
              <w:rPr>
                <w:rFonts w:eastAsia="Times New Roman" w:cs="Arial"/>
                <w:color w:val="000000"/>
                <w:sz w:val="24"/>
                <w:szCs w:val="24"/>
                <w:lang w:eastAsia="fr-FR"/>
              </w:rPr>
            </w:pPr>
            <w:proofErr w:type="spellStart"/>
            <w:r w:rsidRPr="00621BF1">
              <w:rPr>
                <w:rFonts w:eastAsia="Times New Roman" w:cs="Arial"/>
                <w:color w:val="000000"/>
                <w:sz w:val="24"/>
                <w:szCs w:val="24"/>
                <w:lang w:eastAsia="fr-FR"/>
              </w:rPr>
              <w:t>MenA</w:t>
            </w:r>
            <w:proofErr w:type="spellEnd"/>
          </w:p>
        </w:tc>
        <w:tc>
          <w:tcPr>
            <w:tcW w:w="798" w:type="pct"/>
            <w:shd w:val="clear" w:color="auto" w:fill="auto"/>
            <w:noWrap/>
            <w:vAlign w:val="bottom"/>
          </w:tcPr>
          <w:p w:rsidR="004E32E1" w:rsidRPr="00621BF1" w:rsidRDefault="00813A59"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NA</w:t>
            </w:r>
          </w:p>
        </w:tc>
        <w:tc>
          <w:tcPr>
            <w:tcW w:w="798" w:type="pct"/>
            <w:shd w:val="clear" w:color="auto" w:fill="auto"/>
            <w:noWrap/>
            <w:vAlign w:val="bottom"/>
          </w:tcPr>
          <w:p w:rsidR="004E32E1" w:rsidRPr="00621BF1" w:rsidRDefault="00813A59"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NA</w:t>
            </w:r>
          </w:p>
        </w:tc>
        <w:tc>
          <w:tcPr>
            <w:tcW w:w="798" w:type="pct"/>
            <w:shd w:val="clear" w:color="auto" w:fill="auto"/>
            <w:noWrap/>
            <w:vAlign w:val="bottom"/>
          </w:tcPr>
          <w:p w:rsidR="004E32E1" w:rsidRPr="00621BF1" w:rsidRDefault="00813A59"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NA</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c>
          <w:tcPr>
            <w:tcW w:w="797"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10%</w:t>
            </w:r>
          </w:p>
        </w:tc>
      </w:tr>
      <w:tr w:rsidR="004E32E1" w:rsidRPr="00621BF1" w:rsidTr="004E32E1">
        <w:trPr>
          <w:trHeight w:val="315"/>
        </w:trPr>
        <w:tc>
          <w:tcPr>
            <w:tcW w:w="1011" w:type="pct"/>
            <w:shd w:val="clear" w:color="auto" w:fill="auto"/>
            <w:noWrap/>
            <w:vAlign w:val="bottom"/>
          </w:tcPr>
          <w:p w:rsidR="004E32E1" w:rsidRPr="00621BF1" w:rsidRDefault="004E32E1" w:rsidP="004C7B6E">
            <w:pPr>
              <w:spacing w:after="0" w:line="240" w:lineRule="auto"/>
              <w:jc w:val="both"/>
              <w:rPr>
                <w:rFonts w:eastAsia="Times New Roman" w:cs="Arial"/>
                <w:color w:val="000000"/>
                <w:sz w:val="24"/>
                <w:szCs w:val="24"/>
                <w:lang w:eastAsia="fr-FR"/>
              </w:rPr>
            </w:pPr>
            <w:proofErr w:type="spellStart"/>
            <w:r w:rsidRPr="00621BF1">
              <w:rPr>
                <w:rFonts w:eastAsia="Times New Roman" w:cs="Arial"/>
                <w:color w:val="000000"/>
                <w:sz w:val="24"/>
                <w:szCs w:val="24"/>
                <w:lang w:eastAsia="fr-FR"/>
              </w:rPr>
              <w:t>Rotavirus</w:t>
            </w:r>
            <w:proofErr w:type="spellEnd"/>
          </w:p>
        </w:tc>
        <w:tc>
          <w:tcPr>
            <w:tcW w:w="798" w:type="pct"/>
            <w:shd w:val="clear" w:color="auto" w:fill="auto"/>
            <w:noWrap/>
            <w:vAlign w:val="bottom"/>
          </w:tcPr>
          <w:p w:rsidR="004E32E1" w:rsidRPr="00621BF1" w:rsidRDefault="00813A59"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NA</w:t>
            </w:r>
          </w:p>
        </w:tc>
        <w:tc>
          <w:tcPr>
            <w:tcW w:w="798" w:type="pct"/>
            <w:shd w:val="clear" w:color="auto" w:fill="auto"/>
            <w:noWrap/>
            <w:vAlign w:val="bottom"/>
          </w:tcPr>
          <w:p w:rsidR="004E32E1" w:rsidRPr="00621BF1" w:rsidRDefault="00813A59"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NA</w:t>
            </w:r>
          </w:p>
        </w:tc>
        <w:tc>
          <w:tcPr>
            <w:tcW w:w="798" w:type="pct"/>
            <w:shd w:val="clear" w:color="auto" w:fill="auto"/>
            <w:noWrap/>
            <w:vAlign w:val="bottom"/>
          </w:tcPr>
          <w:p w:rsidR="004E32E1" w:rsidRPr="00621BF1" w:rsidRDefault="00813A59" w:rsidP="004C7B6E">
            <w:pPr>
              <w:spacing w:after="0" w:line="240" w:lineRule="auto"/>
              <w:jc w:val="center"/>
              <w:rPr>
                <w:rFonts w:eastAsia="Times New Roman" w:cs="Arial"/>
                <w:sz w:val="24"/>
                <w:szCs w:val="24"/>
                <w:lang w:eastAsia="fr-FR"/>
              </w:rPr>
            </w:pPr>
            <w:r>
              <w:rPr>
                <w:rFonts w:eastAsia="Times New Roman" w:cs="Arial"/>
                <w:sz w:val="24"/>
                <w:szCs w:val="24"/>
                <w:lang w:eastAsia="fr-FR"/>
              </w:rPr>
              <w:t>NA</w:t>
            </w:r>
          </w:p>
        </w:tc>
        <w:tc>
          <w:tcPr>
            <w:tcW w:w="798" w:type="pct"/>
            <w:shd w:val="clear" w:color="auto" w:fill="auto"/>
            <w:noWrap/>
            <w:vAlign w:val="bottom"/>
          </w:tcPr>
          <w:p w:rsidR="004E32E1" w:rsidRPr="00621BF1" w:rsidRDefault="004E32E1"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5%</w:t>
            </w:r>
          </w:p>
        </w:tc>
        <w:tc>
          <w:tcPr>
            <w:tcW w:w="797" w:type="pct"/>
            <w:shd w:val="clear" w:color="auto" w:fill="auto"/>
            <w:noWrap/>
            <w:vAlign w:val="bottom"/>
          </w:tcPr>
          <w:p w:rsidR="004E32E1" w:rsidRPr="00621BF1" w:rsidRDefault="00B348AA" w:rsidP="004C7B6E">
            <w:pPr>
              <w:spacing w:after="0" w:line="240" w:lineRule="auto"/>
              <w:jc w:val="center"/>
              <w:rPr>
                <w:rFonts w:eastAsia="Times New Roman" w:cs="Arial"/>
                <w:sz w:val="24"/>
                <w:szCs w:val="24"/>
                <w:lang w:eastAsia="fr-FR"/>
              </w:rPr>
            </w:pPr>
            <w:r w:rsidRPr="00621BF1">
              <w:rPr>
                <w:rFonts w:eastAsia="Times New Roman" w:cs="Arial"/>
                <w:sz w:val="24"/>
                <w:szCs w:val="24"/>
                <w:lang w:eastAsia="fr-FR"/>
              </w:rPr>
              <w:t>3</w:t>
            </w:r>
            <w:r w:rsidR="004E32E1" w:rsidRPr="00621BF1">
              <w:rPr>
                <w:rFonts w:eastAsia="Times New Roman" w:cs="Arial"/>
                <w:sz w:val="24"/>
                <w:szCs w:val="24"/>
                <w:lang w:eastAsia="fr-FR"/>
              </w:rPr>
              <w:t>%</w:t>
            </w:r>
          </w:p>
        </w:tc>
      </w:tr>
    </w:tbl>
    <w:p w:rsidR="00431B9D" w:rsidRPr="00621BF1" w:rsidRDefault="00431B9D" w:rsidP="00431B9D">
      <w:pPr>
        <w:pStyle w:val="Pieddepage"/>
        <w:spacing w:after="120"/>
        <w:jc w:val="both"/>
        <w:rPr>
          <w:rFonts w:cs="Arial"/>
          <w:sz w:val="24"/>
          <w:szCs w:val="24"/>
        </w:rPr>
      </w:pPr>
    </w:p>
    <w:p w:rsidR="00431B9D" w:rsidRPr="00621BF1" w:rsidRDefault="00431B9D" w:rsidP="001E0F1D">
      <w:pPr>
        <w:pStyle w:val="Titre5"/>
      </w:pPr>
      <w:r w:rsidRPr="00621BF1">
        <w:t>Introduction de nouveaux vaccins</w:t>
      </w:r>
    </w:p>
    <w:p w:rsidR="00431B9D" w:rsidRPr="00621BF1" w:rsidRDefault="00431B9D" w:rsidP="00193A7E">
      <w:pPr>
        <w:pStyle w:val="Pieddepage"/>
        <w:numPr>
          <w:ilvl w:val="0"/>
          <w:numId w:val="9"/>
        </w:numPr>
        <w:tabs>
          <w:tab w:val="clear" w:pos="4680"/>
          <w:tab w:val="clear" w:pos="9360"/>
        </w:tabs>
        <w:spacing w:before="0" w:after="120"/>
        <w:jc w:val="both"/>
        <w:rPr>
          <w:rFonts w:cs="Arial"/>
          <w:i/>
          <w:sz w:val="24"/>
          <w:szCs w:val="24"/>
        </w:rPr>
      </w:pPr>
      <w:r w:rsidRPr="00621BF1">
        <w:rPr>
          <w:rFonts w:cs="Arial"/>
          <w:i/>
          <w:sz w:val="24"/>
          <w:szCs w:val="24"/>
        </w:rPr>
        <w:t>D’ici fin 2020, 100% des D</w:t>
      </w:r>
      <w:r w:rsidR="00290BD5" w:rsidRPr="00621BF1">
        <w:rPr>
          <w:rFonts w:cs="Arial"/>
          <w:i/>
          <w:sz w:val="24"/>
          <w:szCs w:val="24"/>
        </w:rPr>
        <w:t>istricts Sanitaires</w:t>
      </w:r>
      <w:r w:rsidRPr="00621BF1">
        <w:rPr>
          <w:rFonts w:cs="Arial"/>
          <w:i/>
          <w:sz w:val="24"/>
          <w:szCs w:val="24"/>
        </w:rPr>
        <w:t xml:space="preserve"> ont introduit les nouveaux vaccins contre le pneumoco</w:t>
      </w:r>
      <w:r w:rsidR="00B2272C" w:rsidRPr="00621BF1">
        <w:rPr>
          <w:rFonts w:cs="Arial"/>
          <w:i/>
          <w:sz w:val="24"/>
          <w:szCs w:val="24"/>
        </w:rPr>
        <w:t xml:space="preserve">que, le rota virus, HPV, RR, </w:t>
      </w:r>
      <w:r w:rsidRPr="00621BF1">
        <w:rPr>
          <w:rFonts w:cs="Arial"/>
          <w:i/>
          <w:sz w:val="24"/>
          <w:szCs w:val="24"/>
        </w:rPr>
        <w:t>Ebola</w:t>
      </w:r>
      <w:r w:rsidR="00B2272C" w:rsidRPr="00621BF1">
        <w:rPr>
          <w:rFonts w:cs="Arial"/>
          <w:i/>
          <w:sz w:val="24"/>
          <w:szCs w:val="24"/>
        </w:rPr>
        <w:t xml:space="preserve"> etc</w:t>
      </w:r>
      <w:r w:rsidRPr="00621BF1">
        <w:rPr>
          <w:rFonts w:cs="Arial"/>
          <w:i/>
          <w:sz w:val="24"/>
          <w:szCs w:val="24"/>
        </w:rPr>
        <w:t>.</w:t>
      </w:r>
    </w:p>
    <w:p w:rsidR="004E32E1" w:rsidRPr="00621BF1" w:rsidRDefault="004E32E1" w:rsidP="004E32E1">
      <w:pPr>
        <w:pStyle w:val="Lgende"/>
        <w:rPr>
          <w:i w:val="0"/>
          <w:szCs w:val="24"/>
        </w:rPr>
      </w:pPr>
      <w:bookmarkStart w:id="175" w:name="_Toc456109492"/>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26</w:t>
      </w:r>
      <w:r w:rsidR="00B51B2E" w:rsidRPr="00621BF1">
        <w:fldChar w:fldCharType="end"/>
      </w:r>
      <w:r w:rsidRPr="00621BF1">
        <w:t>: Projection de couverture vaccinale pour les nouveaux introduits de 2016 à 2020</w:t>
      </w:r>
      <w:bookmarkEnd w:id="175"/>
    </w:p>
    <w:tbl>
      <w:tblPr>
        <w:tblW w:w="7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470"/>
        <w:gridCol w:w="900"/>
        <w:gridCol w:w="785"/>
        <w:gridCol w:w="850"/>
        <w:gridCol w:w="851"/>
        <w:gridCol w:w="850"/>
      </w:tblGrid>
      <w:tr w:rsidR="005E6B14" w:rsidRPr="00621BF1" w:rsidTr="00A718E5">
        <w:trPr>
          <w:trHeight w:val="525"/>
        </w:trPr>
        <w:tc>
          <w:tcPr>
            <w:tcW w:w="1980" w:type="dxa"/>
            <w:vMerge w:val="restart"/>
            <w:shd w:val="clear" w:color="auto" w:fill="C45911" w:themeFill="accent2" w:themeFillShade="BF"/>
            <w:vAlign w:val="center"/>
            <w:hideMark/>
          </w:tcPr>
          <w:p w:rsidR="005E6B14" w:rsidRPr="00621BF1" w:rsidRDefault="005E6B14" w:rsidP="00A718E5">
            <w:pPr>
              <w:spacing w:after="120"/>
              <w:jc w:val="center"/>
              <w:rPr>
                <w:b/>
                <w:bCs/>
                <w:color w:val="FFFFFF" w:themeColor="background1"/>
                <w:sz w:val="18"/>
                <w:szCs w:val="20"/>
              </w:rPr>
            </w:pPr>
            <w:r w:rsidRPr="00621BF1">
              <w:rPr>
                <w:b/>
                <w:bCs/>
                <w:color w:val="FFFFFF" w:themeColor="background1"/>
                <w:sz w:val="18"/>
                <w:szCs w:val="20"/>
              </w:rPr>
              <w:t>Antigènes</w:t>
            </w:r>
          </w:p>
        </w:tc>
        <w:tc>
          <w:tcPr>
            <w:tcW w:w="1470" w:type="dxa"/>
            <w:vMerge w:val="restart"/>
            <w:shd w:val="clear" w:color="auto" w:fill="C45911" w:themeFill="accent2" w:themeFillShade="BF"/>
            <w:vAlign w:val="center"/>
            <w:hideMark/>
          </w:tcPr>
          <w:p w:rsidR="005E6B14" w:rsidRPr="00621BF1" w:rsidRDefault="005E6B14" w:rsidP="00A718E5">
            <w:pPr>
              <w:spacing w:after="120"/>
              <w:jc w:val="center"/>
              <w:rPr>
                <w:b/>
                <w:bCs/>
                <w:color w:val="FFFFFF" w:themeColor="background1"/>
                <w:sz w:val="18"/>
                <w:szCs w:val="20"/>
              </w:rPr>
            </w:pPr>
            <w:r w:rsidRPr="00621BF1">
              <w:rPr>
                <w:b/>
                <w:bCs/>
                <w:color w:val="FFFFFF" w:themeColor="background1"/>
                <w:sz w:val="18"/>
                <w:szCs w:val="20"/>
              </w:rPr>
              <w:t>Couverture (%) année de base (2015)</w:t>
            </w:r>
          </w:p>
        </w:tc>
        <w:tc>
          <w:tcPr>
            <w:tcW w:w="4236" w:type="dxa"/>
            <w:gridSpan w:val="5"/>
            <w:shd w:val="clear" w:color="auto" w:fill="C45911" w:themeFill="accent2" w:themeFillShade="BF"/>
            <w:vAlign w:val="center"/>
          </w:tcPr>
          <w:p w:rsidR="005E6B14" w:rsidRPr="00621BF1" w:rsidRDefault="005E6B14" w:rsidP="00A718E5">
            <w:pPr>
              <w:spacing w:after="120"/>
              <w:jc w:val="center"/>
              <w:rPr>
                <w:b/>
                <w:bCs/>
                <w:color w:val="FFFFFF" w:themeColor="background1"/>
                <w:sz w:val="18"/>
                <w:szCs w:val="20"/>
              </w:rPr>
            </w:pPr>
            <w:r w:rsidRPr="00621BF1">
              <w:rPr>
                <w:b/>
                <w:bCs/>
                <w:color w:val="FFFFFF" w:themeColor="background1"/>
                <w:sz w:val="18"/>
                <w:szCs w:val="20"/>
              </w:rPr>
              <w:t>Projection couverture vaccinale (%)</w:t>
            </w:r>
          </w:p>
        </w:tc>
      </w:tr>
      <w:tr w:rsidR="005E6B14" w:rsidRPr="00621BF1" w:rsidTr="00A718E5">
        <w:trPr>
          <w:trHeight w:val="317"/>
        </w:trPr>
        <w:tc>
          <w:tcPr>
            <w:tcW w:w="1980" w:type="dxa"/>
            <w:vMerge/>
            <w:shd w:val="clear" w:color="auto" w:fill="C45911" w:themeFill="accent2" w:themeFillShade="BF"/>
            <w:vAlign w:val="center"/>
          </w:tcPr>
          <w:p w:rsidR="005E6B14" w:rsidRPr="00621BF1" w:rsidRDefault="005E6B14" w:rsidP="00A718E5">
            <w:pPr>
              <w:spacing w:after="120"/>
              <w:jc w:val="center"/>
              <w:rPr>
                <w:b/>
                <w:bCs/>
                <w:color w:val="FFFFFF" w:themeColor="background1"/>
                <w:sz w:val="18"/>
                <w:szCs w:val="20"/>
              </w:rPr>
            </w:pPr>
          </w:p>
        </w:tc>
        <w:tc>
          <w:tcPr>
            <w:tcW w:w="1470" w:type="dxa"/>
            <w:vMerge/>
            <w:shd w:val="clear" w:color="auto" w:fill="C45911" w:themeFill="accent2" w:themeFillShade="BF"/>
            <w:vAlign w:val="center"/>
          </w:tcPr>
          <w:p w:rsidR="005E6B14" w:rsidRPr="00621BF1" w:rsidRDefault="005E6B14" w:rsidP="00A718E5">
            <w:pPr>
              <w:spacing w:after="120"/>
              <w:jc w:val="center"/>
              <w:rPr>
                <w:b/>
                <w:bCs/>
                <w:color w:val="FFFFFF" w:themeColor="background1"/>
                <w:sz w:val="18"/>
                <w:szCs w:val="20"/>
              </w:rPr>
            </w:pPr>
          </w:p>
        </w:tc>
        <w:tc>
          <w:tcPr>
            <w:tcW w:w="900" w:type="dxa"/>
            <w:shd w:val="clear" w:color="auto" w:fill="C45911" w:themeFill="accent2" w:themeFillShade="BF"/>
            <w:vAlign w:val="center"/>
          </w:tcPr>
          <w:p w:rsidR="005E6B14" w:rsidRPr="00621BF1" w:rsidRDefault="005E6B14" w:rsidP="00A718E5">
            <w:pPr>
              <w:spacing w:after="120"/>
              <w:jc w:val="center"/>
              <w:rPr>
                <w:b/>
                <w:bCs/>
                <w:color w:val="FFFFFF" w:themeColor="background1"/>
                <w:sz w:val="18"/>
                <w:szCs w:val="20"/>
              </w:rPr>
            </w:pPr>
            <w:r w:rsidRPr="00621BF1">
              <w:rPr>
                <w:b/>
                <w:bCs/>
                <w:color w:val="FFFFFF" w:themeColor="background1"/>
                <w:sz w:val="18"/>
                <w:szCs w:val="20"/>
              </w:rPr>
              <w:t>2016</w:t>
            </w:r>
          </w:p>
        </w:tc>
        <w:tc>
          <w:tcPr>
            <w:tcW w:w="785" w:type="dxa"/>
            <w:shd w:val="clear" w:color="auto" w:fill="C45911" w:themeFill="accent2" w:themeFillShade="BF"/>
            <w:vAlign w:val="center"/>
          </w:tcPr>
          <w:p w:rsidR="005E6B14" w:rsidRPr="00621BF1" w:rsidRDefault="005E6B14" w:rsidP="00A718E5">
            <w:pPr>
              <w:spacing w:after="120"/>
              <w:jc w:val="center"/>
              <w:rPr>
                <w:b/>
                <w:bCs/>
                <w:color w:val="FFFFFF" w:themeColor="background1"/>
                <w:sz w:val="18"/>
                <w:szCs w:val="20"/>
              </w:rPr>
            </w:pPr>
            <w:r w:rsidRPr="00621BF1">
              <w:rPr>
                <w:b/>
                <w:bCs/>
                <w:color w:val="FFFFFF" w:themeColor="background1"/>
                <w:sz w:val="18"/>
                <w:szCs w:val="20"/>
              </w:rPr>
              <w:t>2017</w:t>
            </w:r>
          </w:p>
        </w:tc>
        <w:tc>
          <w:tcPr>
            <w:tcW w:w="850" w:type="dxa"/>
            <w:shd w:val="clear" w:color="auto" w:fill="C45911" w:themeFill="accent2" w:themeFillShade="BF"/>
            <w:vAlign w:val="center"/>
          </w:tcPr>
          <w:p w:rsidR="005E6B14" w:rsidRPr="00621BF1" w:rsidRDefault="005E6B14" w:rsidP="00A718E5">
            <w:pPr>
              <w:spacing w:after="120"/>
              <w:jc w:val="center"/>
              <w:rPr>
                <w:b/>
                <w:bCs/>
                <w:color w:val="FFFFFF" w:themeColor="background1"/>
                <w:sz w:val="18"/>
                <w:szCs w:val="20"/>
              </w:rPr>
            </w:pPr>
            <w:r w:rsidRPr="00621BF1">
              <w:rPr>
                <w:b/>
                <w:bCs/>
                <w:color w:val="FFFFFF" w:themeColor="background1"/>
                <w:sz w:val="18"/>
                <w:szCs w:val="20"/>
              </w:rPr>
              <w:t>2018</w:t>
            </w:r>
          </w:p>
        </w:tc>
        <w:tc>
          <w:tcPr>
            <w:tcW w:w="851" w:type="dxa"/>
            <w:shd w:val="clear" w:color="auto" w:fill="C45911" w:themeFill="accent2" w:themeFillShade="BF"/>
            <w:vAlign w:val="center"/>
          </w:tcPr>
          <w:p w:rsidR="005E6B14" w:rsidRPr="00621BF1" w:rsidRDefault="005E6B14" w:rsidP="00A718E5">
            <w:pPr>
              <w:spacing w:after="120"/>
              <w:jc w:val="center"/>
              <w:rPr>
                <w:b/>
                <w:bCs/>
                <w:color w:val="FFFFFF" w:themeColor="background1"/>
                <w:sz w:val="18"/>
                <w:szCs w:val="20"/>
              </w:rPr>
            </w:pPr>
            <w:r w:rsidRPr="00621BF1">
              <w:rPr>
                <w:b/>
                <w:bCs/>
                <w:color w:val="FFFFFF" w:themeColor="background1"/>
                <w:sz w:val="18"/>
                <w:szCs w:val="20"/>
              </w:rPr>
              <w:t>2019</w:t>
            </w:r>
          </w:p>
        </w:tc>
        <w:tc>
          <w:tcPr>
            <w:tcW w:w="850" w:type="dxa"/>
            <w:shd w:val="clear" w:color="auto" w:fill="C45911" w:themeFill="accent2" w:themeFillShade="BF"/>
            <w:vAlign w:val="center"/>
          </w:tcPr>
          <w:p w:rsidR="005E6B14" w:rsidRPr="00621BF1" w:rsidRDefault="005E6B14" w:rsidP="00A718E5">
            <w:pPr>
              <w:spacing w:after="120"/>
              <w:jc w:val="center"/>
              <w:rPr>
                <w:b/>
                <w:bCs/>
                <w:color w:val="FFFFFF" w:themeColor="background1"/>
                <w:sz w:val="18"/>
                <w:szCs w:val="20"/>
              </w:rPr>
            </w:pPr>
            <w:r w:rsidRPr="00621BF1">
              <w:rPr>
                <w:b/>
                <w:bCs/>
                <w:color w:val="FFFFFF" w:themeColor="background1"/>
                <w:sz w:val="18"/>
                <w:szCs w:val="20"/>
              </w:rPr>
              <w:t>2020</w:t>
            </w:r>
          </w:p>
        </w:tc>
      </w:tr>
      <w:tr w:rsidR="005E6B14" w:rsidRPr="005E6B14" w:rsidTr="00A718E5">
        <w:trPr>
          <w:trHeight w:val="300"/>
        </w:trPr>
        <w:tc>
          <w:tcPr>
            <w:tcW w:w="1980" w:type="dxa"/>
            <w:shd w:val="clear" w:color="auto" w:fill="auto"/>
            <w:vAlign w:val="center"/>
            <w:hideMark/>
          </w:tcPr>
          <w:p w:rsidR="005E6B14" w:rsidRPr="00621BF1" w:rsidRDefault="005E6B14" w:rsidP="00A718E5">
            <w:pPr>
              <w:spacing w:after="120"/>
              <w:rPr>
                <w:sz w:val="18"/>
                <w:szCs w:val="20"/>
              </w:rPr>
            </w:pPr>
            <w:r w:rsidRPr="00621BF1">
              <w:rPr>
                <w:sz w:val="18"/>
                <w:szCs w:val="20"/>
              </w:rPr>
              <w:t>PCV-13</w:t>
            </w:r>
          </w:p>
        </w:tc>
        <w:tc>
          <w:tcPr>
            <w:tcW w:w="1470" w:type="dxa"/>
            <w:shd w:val="clear" w:color="auto" w:fill="auto"/>
          </w:tcPr>
          <w:p w:rsidR="005E6B14" w:rsidRPr="00621BF1" w:rsidRDefault="005E6B14" w:rsidP="00A718E5">
            <w:pPr>
              <w:spacing w:after="120"/>
              <w:jc w:val="center"/>
              <w:rPr>
                <w:sz w:val="18"/>
                <w:szCs w:val="20"/>
              </w:rPr>
            </w:pPr>
            <w:r w:rsidRPr="00621BF1">
              <w:rPr>
                <w:sz w:val="18"/>
                <w:szCs w:val="20"/>
              </w:rPr>
              <w:t>N/A</w:t>
            </w:r>
          </w:p>
        </w:tc>
        <w:tc>
          <w:tcPr>
            <w:tcW w:w="900" w:type="dxa"/>
            <w:shd w:val="clear" w:color="auto" w:fill="auto"/>
          </w:tcPr>
          <w:p w:rsidR="005E6B14" w:rsidRPr="00621BF1" w:rsidRDefault="005E6B14" w:rsidP="00A718E5">
            <w:pPr>
              <w:spacing w:after="120"/>
              <w:jc w:val="center"/>
              <w:rPr>
                <w:sz w:val="18"/>
                <w:szCs w:val="20"/>
              </w:rPr>
            </w:pPr>
            <w:r w:rsidRPr="00621BF1">
              <w:rPr>
                <w:sz w:val="18"/>
                <w:szCs w:val="20"/>
              </w:rPr>
              <w:t>N/A</w:t>
            </w:r>
          </w:p>
        </w:tc>
        <w:tc>
          <w:tcPr>
            <w:tcW w:w="785" w:type="dxa"/>
            <w:shd w:val="clear" w:color="auto" w:fill="auto"/>
            <w:vAlign w:val="center"/>
          </w:tcPr>
          <w:p w:rsidR="005E6B14" w:rsidRPr="00621BF1" w:rsidRDefault="005E6B14" w:rsidP="00A718E5">
            <w:pPr>
              <w:spacing w:after="120"/>
              <w:jc w:val="center"/>
              <w:rPr>
                <w:sz w:val="18"/>
                <w:szCs w:val="20"/>
              </w:rPr>
            </w:pPr>
            <w:r w:rsidRPr="00621BF1">
              <w:rPr>
                <w:sz w:val="18"/>
                <w:szCs w:val="20"/>
              </w:rPr>
              <w:t>N/A</w:t>
            </w:r>
          </w:p>
        </w:tc>
        <w:tc>
          <w:tcPr>
            <w:tcW w:w="850" w:type="dxa"/>
            <w:shd w:val="clear" w:color="auto" w:fill="auto"/>
            <w:vAlign w:val="center"/>
          </w:tcPr>
          <w:p w:rsidR="005E6B14" w:rsidRPr="005E6B14" w:rsidRDefault="005E6B14" w:rsidP="00A718E5">
            <w:pPr>
              <w:spacing w:after="120"/>
              <w:jc w:val="center"/>
              <w:rPr>
                <w:sz w:val="18"/>
                <w:szCs w:val="20"/>
              </w:rPr>
            </w:pPr>
            <w:r w:rsidRPr="005E6B14">
              <w:rPr>
                <w:sz w:val="18"/>
                <w:szCs w:val="20"/>
              </w:rPr>
              <w:t>N/A</w:t>
            </w:r>
          </w:p>
        </w:tc>
        <w:tc>
          <w:tcPr>
            <w:tcW w:w="851" w:type="dxa"/>
            <w:shd w:val="clear" w:color="auto" w:fill="auto"/>
            <w:vAlign w:val="center"/>
          </w:tcPr>
          <w:p w:rsidR="005E6B14" w:rsidRPr="005E6B14" w:rsidRDefault="005E6B14" w:rsidP="00A718E5">
            <w:pPr>
              <w:spacing w:after="120"/>
              <w:jc w:val="center"/>
              <w:rPr>
                <w:sz w:val="18"/>
                <w:szCs w:val="20"/>
              </w:rPr>
            </w:pPr>
            <w:r w:rsidRPr="005E6B14">
              <w:rPr>
                <w:sz w:val="18"/>
                <w:szCs w:val="20"/>
              </w:rPr>
              <w:t>N/A</w:t>
            </w:r>
          </w:p>
        </w:tc>
        <w:tc>
          <w:tcPr>
            <w:tcW w:w="850" w:type="dxa"/>
            <w:shd w:val="clear" w:color="auto" w:fill="auto"/>
            <w:vAlign w:val="center"/>
          </w:tcPr>
          <w:p w:rsidR="005E6B14" w:rsidRPr="005E6B14" w:rsidRDefault="005E6B14" w:rsidP="00A718E5">
            <w:pPr>
              <w:spacing w:after="120"/>
              <w:jc w:val="center"/>
              <w:rPr>
                <w:sz w:val="18"/>
                <w:szCs w:val="20"/>
              </w:rPr>
            </w:pPr>
            <w:r w:rsidRPr="005E6B14">
              <w:rPr>
                <w:sz w:val="18"/>
                <w:szCs w:val="20"/>
              </w:rPr>
              <w:t>80</w:t>
            </w:r>
          </w:p>
        </w:tc>
      </w:tr>
      <w:tr w:rsidR="005E6B14" w:rsidRPr="005E6B14" w:rsidTr="00A718E5">
        <w:trPr>
          <w:trHeight w:val="300"/>
        </w:trPr>
        <w:tc>
          <w:tcPr>
            <w:tcW w:w="1980" w:type="dxa"/>
            <w:shd w:val="clear" w:color="auto" w:fill="auto"/>
            <w:vAlign w:val="center"/>
          </w:tcPr>
          <w:p w:rsidR="005E6B14" w:rsidRPr="00621BF1" w:rsidRDefault="005E6B14" w:rsidP="00A718E5">
            <w:pPr>
              <w:spacing w:after="120"/>
              <w:rPr>
                <w:sz w:val="18"/>
                <w:szCs w:val="20"/>
              </w:rPr>
            </w:pPr>
            <w:r w:rsidRPr="00621BF1">
              <w:rPr>
                <w:sz w:val="18"/>
                <w:szCs w:val="20"/>
              </w:rPr>
              <w:t>Rota Virus</w:t>
            </w:r>
          </w:p>
        </w:tc>
        <w:tc>
          <w:tcPr>
            <w:tcW w:w="1470" w:type="dxa"/>
            <w:shd w:val="clear" w:color="auto" w:fill="auto"/>
          </w:tcPr>
          <w:p w:rsidR="005E6B14" w:rsidRPr="00621BF1" w:rsidRDefault="005E6B14" w:rsidP="00A718E5">
            <w:pPr>
              <w:jc w:val="center"/>
            </w:pPr>
            <w:r w:rsidRPr="00621BF1">
              <w:rPr>
                <w:sz w:val="18"/>
                <w:szCs w:val="20"/>
              </w:rPr>
              <w:t>N/A</w:t>
            </w:r>
          </w:p>
        </w:tc>
        <w:tc>
          <w:tcPr>
            <w:tcW w:w="900" w:type="dxa"/>
            <w:shd w:val="clear" w:color="auto" w:fill="auto"/>
          </w:tcPr>
          <w:p w:rsidR="005E6B14" w:rsidRPr="00621BF1" w:rsidRDefault="005E6B14" w:rsidP="00A718E5">
            <w:pPr>
              <w:jc w:val="center"/>
            </w:pPr>
            <w:r w:rsidRPr="00621BF1">
              <w:rPr>
                <w:sz w:val="18"/>
                <w:szCs w:val="20"/>
              </w:rPr>
              <w:t>N/A</w:t>
            </w:r>
          </w:p>
        </w:tc>
        <w:tc>
          <w:tcPr>
            <w:tcW w:w="785" w:type="dxa"/>
            <w:shd w:val="clear" w:color="auto" w:fill="auto"/>
            <w:vAlign w:val="center"/>
          </w:tcPr>
          <w:p w:rsidR="005E6B14" w:rsidRPr="00621BF1" w:rsidRDefault="005E6B14" w:rsidP="00A718E5">
            <w:pPr>
              <w:spacing w:after="120"/>
              <w:jc w:val="center"/>
              <w:rPr>
                <w:sz w:val="18"/>
                <w:szCs w:val="20"/>
              </w:rPr>
            </w:pPr>
            <w:r w:rsidRPr="00621BF1">
              <w:rPr>
                <w:sz w:val="18"/>
                <w:szCs w:val="20"/>
              </w:rPr>
              <w:t>N/A</w:t>
            </w:r>
          </w:p>
        </w:tc>
        <w:tc>
          <w:tcPr>
            <w:tcW w:w="850" w:type="dxa"/>
            <w:shd w:val="clear" w:color="auto" w:fill="auto"/>
            <w:vAlign w:val="center"/>
          </w:tcPr>
          <w:p w:rsidR="005E6B14" w:rsidRPr="005E6B14" w:rsidRDefault="005E6B14" w:rsidP="00A718E5">
            <w:pPr>
              <w:spacing w:after="120"/>
              <w:rPr>
                <w:sz w:val="18"/>
                <w:szCs w:val="20"/>
              </w:rPr>
            </w:pPr>
            <w:r w:rsidRPr="005E6B14">
              <w:rPr>
                <w:sz w:val="18"/>
                <w:szCs w:val="20"/>
              </w:rPr>
              <w:t xml:space="preserve">     N/A</w:t>
            </w:r>
          </w:p>
        </w:tc>
        <w:tc>
          <w:tcPr>
            <w:tcW w:w="851" w:type="dxa"/>
            <w:shd w:val="clear" w:color="auto" w:fill="auto"/>
            <w:vAlign w:val="center"/>
          </w:tcPr>
          <w:p w:rsidR="005E6B14" w:rsidRPr="005E6B14" w:rsidRDefault="005E6B14" w:rsidP="00A718E5">
            <w:pPr>
              <w:spacing w:after="120"/>
              <w:jc w:val="center"/>
              <w:rPr>
                <w:sz w:val="18"/>
                <w:szCs w:val="20"/>
              </w:rPr>
            </w:pPr>
            <w:r w:rsidRPr="005E6B14">
              <w:rPr>
                <w:sz w:val="18"/>
                <w:szCs w:val="20"/>
              </w:rPr>
              <w:t>N/A</w:t>
            </w:r>
          </w:p>
        </w:tc>
        <w:tc>
          <w:tcPr>
            <w:tcW w:w="850" w:type="dxa"/>
            <w:shd w:val="clear" w:color="auto" w:fill="auto"/>
            <w:vAlign w:val="center"/>
          </w:tcPr>
          <w:p w:rsidR="005E6B14" w:rsidRPr="005E6B14" w:rsidRDefault="005E6B14" w:rsidP="00A718E5">
            <w:pPr>
              <w:spacing w:after="120"/>
              <w:jc w:val="center"/>
              <w:rPr>
                <w:sz w:val="18"/>
                <w:szCs w:val="20"/>
              </w:rPr>
            </w:pPr>
            <w:r w:rsidRPr="005E6B14">
              <w:rPr>
                <w:sz w:val="18"/>
                <w:szCs w:val="20"/>
              </w:rPr>
              <w:t>70</w:t>
            </w:r>
          </w:p>
        </w:tc>
      </w:tr>
      <w:tr w:rsidR="005E6B14" w:rsidRPr="005E6B14" w:rsidTr="00A718E5">
        <w:trPr>
          <w:trHeight w:val="300"/>
        </w:trPr>
        <w:tc>
          <w:tcPr>
            <w:tcW w:w="1980" w:type="dxa"/>
            <w:shd w:val="clear" w:color="auto" w:fill="auto"/>
            <w:vAlign w:val="center"/>
          </w:tcPr>
          <w:p w:rsidR="005E6B14" w:rsidRPr="00621BF1" w:rsidRDefault="005E6B14" w:rsidP="00A718E5">
            <w:pPr>
              <w:spacing w:after="120"/>
              <w:rPr>
                <w:sz w:val="18"/>
                <w:szCs w:val="20"/>
              </w:rPr>
            </w:pPr>
            <w:r w:rsidRPr="00621BF1">
              <w:rPr>
                <w:sz w:val="18"/>
                <w:szCs w:val="20"/>
              </w:rPr>
              <w:t>RR</w:t>
            </w:r>
          </w:p>
        </w:tc>
        <w:tc>
          <w:tcPr>
            <w:tcW w:w="1470" w:type="dxa"/>
            <w:shd w:val="clear" w:color="auto" w:fill="auto"/>
          </w:tcPr>
          <w:p w:rsidR="005E6B14" w:rsidRPr="00621BF1" w:rsidRDefault="005E6B14" w:rsidP="00A718E5">
            <w:pPr>
              <w:jc w:val="center"/>
            </w:pPr>
            <w:r w:rsidRPr="00621BF1">
              <w:rPr>
                <w:sz w:val="18"/>
                <w:szCs w:val="20"/>
              </w:rPr>
              <w:t>N/A</w:t>
            </w:r>
          </w:p>
        </w:tc>
        <w:tc>
          <w:tcPr>
            <w:tcW w:w="900" w:type="dxa"/>
            <w:shd w:val="clear" w:color="auto" w:fill="auto"/>
          </w:tcPr>
          <w:p w:rsidR="005E6B14" w:rsidRPr="00621BF1" w:rsidRDefault="005E6B14" w:rsidP="00A718E5">
            <w:pPr>
              <w:jc w:val="center"/>
            </w:pPr>
            <w:r w:rsidRPr="00621BF1">
              <w:rPr>
                <w:sz w:val="18"/>
                <w:szCs w:val="20"/>
              </w:rPr>
              <w:t>N/A</w:t>
            </w:r>
          </w:p>
        </w:tc>
        <w:tc>
          <w:tcPr>
            <w:tcW w:w="785" w:type="dxa"/>
            <w:shd w:val="clear" w:color="auto" w:fill="auto"/>
          </w:tcPr>
          <w:p w:rsidR="005E6B14" w:rsidRPr="00621BF1" w:rsidRDefault="005E6B14" w:rsidP="00A718E5">
            <w:pPr>
              <w:spacing w:after="120"/>
              <w:jc w:val="center"/>
            </w:pPr>
            <w:r>
              <w:rPr>
                <w:sz w:val="18"/>
                <w:szCs w:val="20"/>
              </w:rPr>
              <w:t>N/A</w:t>
            </w:r>
          </w:p>
        </w:tc>
        <w:tc>
          <w:tcPr>
            <w:tcW w:w="850" w:type="dxa"/>
            <w:shd w:val="clear" w:color="auto" w:fill="auto"/>
            <w:vAlign w:val="center"/>
          </w:tcPr>
          <w:p w:rsidR="005E6B14" w:rsidRPr="005E6B14" w:rsidRDefault="005E6B14" w:rsidP="00A718E5">
            <w:pPr>
              <w:spacing w:after="120"/>
              <w:jc w:val="center"/>
              <w:rPr>
                <w:sz w:val="18"/>
                <w:szCs w:val="20"/>
              </w:rPr>
            </w:pPr>
            <w:r w:rsidRPr="005E6B14">
              <w:rPr>
                <w:sz w:val="18"/>
                <w:szCs w:val="20"/>
              </w:rPr>
              <w:t>N/A</w:t>
            </w:r>
          </w:p>
        </w:tc>
        <w:tc>
          <w:tcPr>
            <w:tcW w:w="851" w:type="dxa"/>
            <w:shd w:val="clear" w:color="auto" w:fill="auto"/>
            <w:vAlign w:val="center"/>
          </w:tcPr>
          <w:p w:rsidR="005E6B14" w:rsidRPr="005E6B14" w:rsidRDefault="005E6B14" w:rsidP="00A718E5">
            <w:pPr>
              <w:spacing w:after="120"/>
              <w:jc w:val="center"/>
              <w:rPr>
                <w:sz w:val="18"/>
                <w:szCs w:val="20"/>
              </w:rPr>
            </w:pPr>
            <w:r w:rsidRPr="005E6B14">
              <w:rPr>
                <w:sz w:val="18"/>
                <w:szCs w:val="20"/>
              </w:rPr>
              <w:t>N/A</w:t>
            </w:r>
          </w:p>
        </w:tc>
        <w:tc>
          <w:tcPr>
            <w:tcW w:w="850" w:type="dxa"/>
            <w:shd w:val="clear" w:color="auto" w:fill="auto"/>
            <w:vAlign w:val="center"/>
          </w:tcPr>
          <w:p w:rsidR="005E6B14" w:rsidRPr="005E6B14" w:rsidRDefault="005E6B14" w:rsidP="00A718E5">
            <w:pPr>
              <w:spacing w:after="120"/>
              <w:jc w:val="center"/>
              <w:rPr>
                <w:sz w:val="18"/>
                <w:szCs w:val="20"/>
              </w:rPr>
            </w:pPr>
            <w:r w:rsidRPr="005E6B14">
              <w:rPr>
                <w:sz w:val="18"/>
                <w:szCs w:val="20"/>
              </w:rPr>
              <w:t>60</w:t>
            </w:r>
          </w:p>
        </w:tc>
      </w:tr>
      <w:tr w:rsidR="005E6B14" w:rsidRPr="005E6B14" w:rsidTr="00A718E5">
        <w:trPr>
          <w:trHeight w:val="300"/>
        </w:trPr>
        <w:tc>
          <w:tcPr>
            <w:tcW w:w="1980" w:type="dxa"/>
            <w:shd w:val="clear" w:color="auto" w:fill="auto"/>
            <w:vAlign w:val="center"/>
          </w:tcPr>
          <w:p w:rsidR="005E6B14" w:rsidRPr="00621BF1" w:rsidRDefault="005E6B14" w:rsidP="00A718E5">
            <w:pPr>
              <w:spacing w:after="120"/>
              <w:rPr>
                <w:sz w:val="18"/>
                <w:szCs w:val="20"/>
              </w:rPr>
            </w:pPr>
            <w:r>
              <w:rPr>
                <w:sz w:val="18"/>
                <w:szCs w:val="20"/>
              </w:rPr>
              <w:t>VAR2</w:t>
            </w:r>
          </w:p>
        </w:tc>
        <w:tc>
          <w:tcPr>
            <w:tcW w:w="1470" w:type="dxa"/>
            <w:shd w:val="clear" w:color="auto" w:fill="auto"/>
          </w:tcPr>
          <w:p w:rsidR="005E6B14" w:rsidRPr="00621BF1" w:rsidRDefault="005E6B14" w:rsidP="00A718E5">
            <w:pPr>
              <w:jc w:val="center"/>
              <w:rPr>
                <w:sz w:val="18"/>
                <w:szCs w:val="20"/>
              </w:rPr>
            </w:pPr>
            <w:r w:rsidRPr="00D05ABA">
              <w:rPr>
                <w:sz w:val="18"/>
                <w:szCs w:val="20"/>
              </w:rPr>
              <w:t>N/A</w:t>
            </w:r>
          </w:p>
        </w:tc>
        <w:tc>
          <w:tcPr>
            <w:tcW w:w="900" w:type="dxa"/>
            <w:shd w:val="clear" w:color="auto" w:fill="auto"/>
          </w:tcPr>
          <w:p w:rsidR="005E6B14" w:rsidRPr="00621BF1" w:rsidRDefault="005E6B14" w:rsidP="00A718E5">
            <w:pPr>
              <w:jc w:val="center"/>
              <w:rPr>
                <w:sz w:val="18"/>
                <w:szCs w:val="20"/>
              </w:rPr>
            </w:pPr>
            <w:r w:rsidRPr="00D05ABA">
              <w:rPr>
                <w:sz w:val="18"/>
                <w:szCs w:val="20"/>
              </w:rPr>
              <w:t>N/A</w:t>
            </w:r>
          </w:p>
        </w:tc>
        <w:tc>
          <w:tcPr>
            <w:tcW w:w="785" w:type="dxa"/>
            <w:shd w:val="clear" w:color="auto" w:fill="auto"/>
          </w:tcPr>
          <w:p w:rsidR="005E6B14" w:rsidRPr="00621BF1" w:rsidRDefault="005E6B14" w:rsidP="00A718E5">
            <w:pPr>
              <w:spacing w:after="120"/>
              <w:jc w:val="center"/>
              <w:rPr>
                <w:sz w:val="18"/>
                <w:szCs w:val="20"/>
              </w:rPr>
            </w:pPr>
            <w:r w:rsidRPr="00D05ABA">
              <w:rPr>
                <w:sz w:val="18"/>
                <w:szCs w:val="20"/>
              </w:rPr>
              <w:t>N/A</w:t>
            </w:r>
          </w:p>
        </w:tc>
        <w:tc>
          <w:tcPr>
            <w:tcW w:w="850" w:type="dxa"/>
            <w:shd w:val="clear" w:color="auto" w:fill="auto"/>
          </w:tcPr>
          <w:p w:rsidR="005E6B14" w:rsidRPr="005E6B14" w:rsidRDefault="005E6B14" w:rsidP="00A718E5">
            <w:pPr>
              <w:spacing w:after="120"/>
              <w:jc w:val="center"/>
              <w:rPr>
                <w:sz w:val="18"/>
                <w:szCs w:val="20"/>
              </w:rPr>
            </w:pPr>
            <w:r w:rsidRPr="005E6B14">
              <w:rPr>
                <w:sz w:val="18"/>
                <w:szCs w:val="20"/>
              </w:rPr>
              <w:t>N/A</w:t>
            </w:r>
          </w:p>
        </w:tc>
        <w:tc>
          <w:tcPr>
            <w:tcW w:w="851" w:type="dxa"/>
            <w:shd w:val="clear" w:color="auto" w:fill="auto"/>
            <w:vAlign w:val="center"/>
          </w:tcPr>
          <w:p w:rsidR="005E6B14" w:rsidRPr="005E6B14" w:rsidRDefault="005E6B14" w:rsidP="00A718E5">
            <w:pPr>
              <w:spacing w:after="120"/>
              <w:jc w:val="center"/>
              <w:rPr>
                <w:sz w:val="18"/>
                <w:szCs w:val="20"/>
              </w:rPr>
            </w:pPr>
            <w:r w:rsidRPr="005E6B14">
              <w:rPr>
                <w:sz w:val="18"/>
                <w:szCs w:val="20"/>
              </w:rPr>
              <w:t>60</w:t>
            </w:r>
          </w:p>
        </w:tc>
        <w:tc>
          <w:tcPr>
            <w:tcW w:w="850" w:type="dxa"/>
            <w:shd w:val="clear" w:color="auto" w:fill="auto"/>
            <w:vAlign w:val="center"/>
          </w:tcPr>
          <w:p w:rsidR="005E6B14" w:rsidRPr="005E6B14" w:rsidRDefault="005E6B14" w:rsidP="00A718E5">
            <w:pPr>
              <w:spacing w:after="120"/>
              <w:jc w:val="center"/>
              <w:rPr>
                <w:sz w:val="18"/>
                <w:szCs w:val="20"/>
              </w:rPr>
            </w:pPr>
            <w:r w:rsidRPr="005E6B14">
              <w:rPr>
                <w:sz w:val="18"/>
                <w:szCs w:val="20"/>
              </w:rPr>
              <w:t>70</w:t>
            </w:r>
          </w:p>
        </w:tc>
      </w:tr>
      <w:tr w:rsidR="005E6B14" w:rsidRPr="00621BF1" w:rsidTr="00A718E5">
        <w:trPr>
          <w:trHeight w:val="300"/>
        </w:trPr>
        <w:tc>
          <w:tcPr>
            <w:tcW w:w="1980" w:type="dxa"/>
            <w:shd w:val="clear" w:color="auto" w:fill="auto"/>
            <w:vAlign w:val="center"/>
          </w:tcPr>
          <w:p w:rsidR="005E6B14" w:rsidRPr="00621BF1" w:rsidRDefault="005E6B14" w:rsidP="00A718E5">
            <w:pPr>
              <w:spacing w:after="120"/>
              <w:rPr>
                <w:sz w:val="18"/>
                <w:szCs w:val="20"/>
              </w:rPr>
            </w:pPr>
            <w:r w:rsidRPr="00621BF1">
              <w:rPr>
                <w:sz w:val="18"/>
                <w:szCs w:val="20"/>
              </w:rPr>
              <w:t>Td</w:t>
            </w:r>
          </w:p>
        </w:tc>
        <w:tc>
          <w:tcPr>
            <w:tcW w:w="1470" w:type="dxa"/>
            <w:shd w:val="clear" w:color="auto" w:fill="auto"/>
          </w:tcPr>
          <w:p w:rsidR="005E6B14" w:rsidRPr="00621BF1" w:rsidRDefault="005E6B14" w:rsidP="00A718E5">
            <w:pPr>
              <w:jc w:val="center"/>
            </w:pPr>
            <w:r w:rsidRPr="00621BF1">
              <w:rPr>
                <w:sz w:val="18"/>
                <w:szCs w:val="20"/>
              </w:rPr>
              <w:t>N/A</w:t>
            </w:r>
          </w:p>
        </w:tc>
        <w:tc>
          <w:tcPr>
            <w:tcW w:w="900" w:type="dxa"/>
            <w:shd w:val="clear" w:color="auto" w:fill="auto"/>
          </w:tcPr>
          <w:p w:rsidR="005E6B14" w:rsidRPr="00621BF1" w:rsidRDefault="005E6B14" w:rsidP="00A718E5">
            <w:pPr>
              <w:jc w:val="center"/>
            </w:pPr>
            <w:r w:rsidRPr="00621BF1">
              <w:rPr>
                <w:sz w:val="18"/>
                <w:szCs w:val="20"/>
              </w:rPr>
              <w:t>N/A</w:t>
            </w:r>
          </w:p>
        </w:tc>
        <w:tc>
          <w:tcPr>
            <w:tcW w:w="785" w:type="dxa"/>
            <w:shd w:val="clear" w:color="auto" w:fill="auto"/>
          </w:tcPr>
          <w:p w:rsidR="005E6B14" w:rsidRPr="00621BF1" w:rsidRDefault="005E6B14" w:rsidP="00A718E5">
            <w:pPr>
              <w:jc w:val="center"/>
            </w:pPr>
            <w:r w:rsidRPr="00621BF1">
              <w:rPr>
                <w:sz w:val="18"/>
                <w:szCs w:val="20"/>
              </w:rPr>
              <w:t>82</w:t>
            </w:r>
          </w:p>
        </w:tc>
        <w:tc>
          <w:tcPr>
            <w:tcW w:w="850" w:type="dxa"/>
            <w:shd w:val="clear" w:color="auto" w:fill="auto"/>
            <w:vAlign w:val="center"/>
          </w:tcPr>
          <w:p w:rsidR="005E6B14" w:rsidRPr="00621BF1" w:rsidRDefault="005E6B14" w:rsidP="00A718E5">
            <w:pPr>
              <w:spacing w:after="120"/>
              <w:jc w:val="center"/>
              <w:rPr>
                <w:sz w:val="18"/>
                <w:szCs w:val="20"/>
              </w:rPr>
            </w:pPr>
            <w:r w:rsidRPr="00621BF1">
              <w:rPr>
                <w:sz w:val="18"/>
                <w:szCs w:val="20"/>
              </w:rPr>
              <w:t>85</w:t>
            </w:r>
          </w:p>
        </w:tc>
        <w:tc>
          <w:tcPr>
            <w:tcW w:w="851" w:type="dxa"/>
            <w:shd w:val="clear" w:color="auto" w:fill="auto"/>
            <w:vAlign w:val="center"/>
          </w:tcPr>
          <w:p w:rsidR="005E6B14" w:rsidRPr="00621BF1" w:rsidRDefault="005E6B14" w:rsidP="00A718E5">
            <w:pPr>
              <w:spacing w:after="120"/>
              <w:jc w:val="center"/>
              <w:rPr>
                <w:sz w:val="18"/>
                <w:szCs w:val="20"/>
              </w:rPr>
            </w:pPr>
            <w:r w:rsidRPr="00621BF1">
              <w:rPr>
                <w:sz w:val="18"/>
                <w:szCs w:val="20"/>
              </w:rPr>
              <w:t>88</w:t>
            </w:r>
          </w:p>
        </w:tc>
        <w:tc>
          <w:tcPr>
            <w:tcW w:w="850" w:type="dxa"/>
            <w:shd w:val="clear" w:color="auto" w:fill="auto"/>
            <w:vAlign w:val="center"/>
          </w:tcPr>
          <w:p w:rsidR="005E6B14" w:rsidRPr="00621BF1" w:rsidRDefault="005E6B14" w:rsidP="00A718E5">
            <w:pPr>
              <w:spacing w:after="120"/>
              <w:jc w:val="center"/>
              <w:rPr>
                <w:sz w:val="18"/>
                <w:szCs w:val="20"/>
              </w:rPr>
            </w:pPr>
            <w:r w:rsidRPr="00621BF1">
              <w:rPr>
                <w:sz w:val="18"/>
                <w:szCs w:val="20"/>
              </w:rPr>
              <w:t>90 </w:t>
            </w:r>
          </w:p>
        </w:tc>
      </w:tr>
      <w:tr w:rsidR="005E6B14" w:rsidRPr="00621BF1" w:rsidTr="00A718E5">
        <w:trPr>
          <w:trHeight w:val="300"/>
        </w:trPr>
        <w:tc>
          <w:tcPr>
            <w:tcW w:w="1980" w:type="dxa"/>
            <w:shd w:val="clear" w:color="auto" w:fill="auto"/>
            <w:vAlign w:val="center"/>
          </w:tcPr>
          <w:p w:rsidR="005E6B14" w:rsidRPr="00621BF1" w:rsidRDefault="005E6B14" w:rsidP="00A718E5">
            <w:pPr>
              <w:spacing w:after="120"/>
              <w:rPr>
                <w:sz w:val="18"/>
                <w:szCs w:val="20"/>
              </w:rPr>
            </w:pPr>
            <w:proofErr w:type="spellStart"/>
            <w:r w:rsidRPr="00621BF1">
              <w:rPr>
                <w:rFonts w:cs="Arial"/>
                <w:bCs/>
              </w:rPr>
              <w:t>MenAfriVac</w:t>
            </w:r>
            <w:proofErr w:type="spellEnd"/>
          </w:p>
        </w:tc>
        <w:tc>
          <w:tcPr>
            <w:tcW w:w="1470" w:type="dxa"/>
            <w:shd w:val="clear" w:color="auto" w:fill="auto"/>
          </w:tcPr>
          <w:p w:rsidR="005E6B14" w:rsidRPr="00621BF1" w:rsidRDefault="005E6B14" w:rsidP="00A718E5">
            <w:pPr>
              <w:jc w:val="center"/>
            </w:pPr>
            <w:r w:rsidRPr="00621BF1">
              <w:rPr>
                <w:sz w:val="18"/>
                <w:szCs w:val="20"/>
              </w:rPr>
              <w:t>N/A</w:t>
            </w:r>
          </w:p>
        </w:tc>
        <w:tc>
          <w:tcPr>
            <w:tcW w:w="900" w:type="dxa"/>
            <w:shd w:val="clear" w:color="auto" w:fill="auto"/>
          </w:tcPr>
          <w:p w:rsidR="005E6B14" w:rsidRPr="00621BF1" w:rsidRDefault="005E6B14" w:rsidP="00A718E5">
            <w:pPr>
              <w:jc w:val="center"/>
            </w:pPr>
            <w:r w:rsidRPr="00621BF1">
              <w:rPr>
                <w:sz w:val="18"/>
                <w:szCs w:val="20"/>
              </w:rPr>
              <w:t>N/A</w:t>
            </w:r>
          </w:p>
        </w:tc>
        <w:tc>
          <w:tcPr>
            <w:tcW w:w="785" w:type="dxa"/>
            <w:shd w:val="clear" w:color="auto" w:fill="auto"/>
          </w:tcPr>
          <w:p w:rsidR="005E6B14" w:rsidRPr="00621BF1" w:rsidRDefault="005E6B14" w:rsidP="00A718E5">
            <w:pPr>
              <w:jc w:val="center"/>
            </w:pPr>
            <w:r w:rsidRPr="00621BF1">
              <w:rPr>
                <w:sz w:val="18"/>
                <w:szCs w:val="20"/>
              </w:rPr>
              <w:t>N/A</w:t>
            </w:r>
          </w:p>
        </w:tc>
        <w:tc>
          <w:tcPr>
            <w:tcW w:w="850" w:type="dxa"/>
            <w:shd w:val="clear" w:color="auto" w:fill="auto"/>
            <w:vAlign w:val="center"/>
          </w:tcPr>
          <w:p w:rsidR="005E6B14" w:rsidRPr="00621BF1" w:rsidRDefault="005E6B14" w:rsidP="00A718E5">
            <w:pPr>
              <w:spacing w:after="120"/>
              <w:jc w:val="center"/>
              <w:rPr>
                <w:sz w:val="18"/>
                <w:szCs w:val="20"/>
              </w:rPr>
            </w:pPr>
            <w:r w:rsidRPr="00621BF1">
              <w:rPr>
                <w:sz w:val="18"/>
                <w:szCs w:val="20"/>
              </w:rPr>
              <w:t>N/A</w:t>
            </w:r>
          </w:p>
        </w:tc>
        <w:tc>
          <w:tcPr>
            <w:tcW w:w="851" w:type="dxa"/>
            <w:shd w:val="clear" w:color="auto" w:fill="auto"/>
            <w:vAlign w:val="center"/>
          </w:tcPr>
          <w:p w:rsidR="005E6B14" w:rsidRPr="00621BF1" w:rsidRDefault="005E6B14" w:rsidP="00A718E5">
            <w:pPr>
              <w:spacing w:after="120"/>
              <w:jc w:val="center"/>
              <w:rPr>
                <w:sz w:val="18"/>
                <w:szCs w:val="20"/>
              </w:rPr>
            </w:pPr>
            <w:r w:rsidRPr="00621BF1">
              <w:rPr>
                <w:sz w:val="18"/>
                <w:szCs w:val="20"/>
              </w:rPr>
              <w:t>85</w:t>
            </w:r>
          </w:p>
        </w:tc>
        <w:tc>
          <w:tcPr>
            <w:tcW w:w="850" w:type="dxa"/>
            <w:shd w:val="clear" w:color="auto" w:fill="auto"/>
            <w:vAlign w:val="center"/>
          </w:tcPr>
          <w:p w:rsidR="005E6B14" w:rsidRPr="00621BF1" w:rsidRDefault="005E6B14" w:rsidP="00A718E5">
            <w:pPr>
              <w:spacing w:after="120"/>
              <w:jc w:val="center"/>
              <w:rPr>
                <w:sz w:val="18"/>
                <w:szCs w:val="20"/>
              </w:rPr>
            </w:pPr>
            <w:r w:rsidRPr="00621BF1">
              <w:rPr>
                <w:sz w:val="18"/>
                <w:szCs w:val="20"/>
              </w:rPr>
              <w:t>90</w:t>
            </w:r>
          </w:p>
        </w:tc>
      </w:tr>
      <w:tr w:rsidR="005E6B14" w:rsidRPr="00621BF1" w:rsidTr="00A718E5">
        <w:trPr>
          <w:trHeight w:val="300"/>
        </w:trPr>
        <w:tc>
          <w:tcPr>
            <w:tcW w:w="1980" w:type="dxa"/>
            <w:shd w:val="clear" w:color="auto" w:fill="auto"/>
            <w:vAlign w:val="center"/>
          </w:tcPr>
          <w:p w:rsidR="005E6B14" w:rsidRPr="00621BF1" w:rsidRDefault="005E6B14" w:rsidP="00A718E5">
            <w:pPr>
              <w:spacing w:after="120"/>
              <w:rPr>
                <w:rFonts w:cs="Arial"/>
                <w:bCs/>
              </w:rPr>
            </w:pPr>
            <w:r w:rsidRPr="00621BF1">
              <w:rPr>
                <w:rFonts w:cs="Arial"/>
                <w:bCs/>
              </w:rPr>
              <w:t>HPV</w:t>
            </w:r>
          </w:p>
        </w:tc>
        <w:tc>
          <w:tcPr>
            <w:tcW w:w="1470" w:type="dxa"/>
            <w:shd w:val="clear" w:color="auto" w:fill="auto"/>
          </w:tcPr>
          <w:p w:rsidR="005E6B14" w:rsidRPr="00621BF1" w:rsidRDefault="005E6B14" w:rsidP="00A718E5">
            <w:pPr>
              <w:jc w:val="center"/>
            </w:pPr>
            <w:r w:rsidRPr="00621BF1">
              <w:rPr>
                <w:sz w:val="18"/>
                <w:szCs w:val="20"/>
              </w:rPr>
              <w:t>N/A</w:t>
            </w:r>
          </w:p>
        </w:tc>
        <w:tc>
          <w:tcPr>
            <w:tcW w:w="900" w:type="dxa"/>
            <w:shd w:val="clear" w:color="auto" w:fill="auto"/>
          </w:tcPr>
          <w:p w:rsidR="005E6B14" w:rsidRPr="00621BF1" w:rsidRDefault="005E6B14" w:rsidP="00A718E5">
            <w:pPr>
              <w:jc w:val="center"/>
            </w:pPr>
            <w:r w:rsidRPr="00621BF1">
              <w:rPr>
                <w:sz w:val="18"/>
                <w:szCs w:val="20"/>
              </w:rPr>
              <w:t>N/A</w:t>
            </w:r>
          </w:p>
        </w:tc>
        <w:tc>
          <w:tcPr>
            <w:tcW w:w="785" w:type="dxa"/>
            <w:shd w:val="clear" w:color="auto" w:fill="auto"/>
          </w:tcPr>
          <w:p w:rsidR="005E6B14" w:rsidRPr="00621BF1" w:rsidRDefault="005E6B14" w:rsidP="00A718E5">
            <w:pPr>
              <w:jc w:val="center"/>
            </w:pPr>
            <w:r w:rsidRPr="00621BF1">
              <w:rPr>
                <w:sz w:val="18"/>
                <w:szCs w:val="20"/>
              </w:rPr>
              <w:t>N/A</w:t>
            </w:r>
          </w:p>
        </w:tc>
        <w:tc>
          <w:tcPr>
            <w:tcW w:w="850" w:type="dxa"/>
            <w:shd w:val="clear" w:color="auto" w:fill="auto"/>
            <w:vAlign w:val="center"/>
          </w:tcPr>
          <w:p w:rsidR="005E6B14" w:rsidRPr="00621BF1" w:rsidRDefault="005E6B14" w:rsidP="00A718E5">
            <w:pPr>
              <w:spacing w:after="120"/>
              <w:jc w:val="center"/>
              <w:rPr>
                <w:sz w:val="18"/>
                <w:szCs w:val="20"/>
              </w:rPr>
            </w:pPr>
            <w:r w:rsidRPr="00621BF1">
              <w:rPr>
                <w:sz w:val="18"/>
                <w:szCs w:val="20"/>
              </w:rPr>
              <w:t>N/A</w:t>
            </w:r>
          </w:p>
        </w:tc>
        <w:tc>
          <w:tcPr>
            <w:tcW w:w="851" w:type="dxa"/>
            <w:shd w:val="clear" w:color="auto" w:fill="auto"/>
            <w:vAlign w:val="center"/>
          </w:tcPr>
          <w:p w:rsidR="005E6B14" w:rsidRPr="005E6B14" w:rsidRDefault="005E6B14" w:rsidP="00A718E5">
            <w:pPr>
              <w:spacing w:after="120"/>
              <w:jc w:val="center"/>
              <w:rPr>
                <w:sz w:val="18"/>
                <w:szCs w:val="20"/>
              </w:rPr>
            </w:pPr>
            <w:r w:rsidRPr="005E6B14">
              <w:rPr>
                <w:sz w:val="18"/>
                <w:szCs w:val="20"/>
              </w:rPr>
              <w:t>N/A</w:t>
            </w:r>
          </w:p>
        </w:tc>
        <w:tc>
          <w:tcPr>
            <w:tcW w:w="850" w:type="dxa"/>
            <w:shd w:val="clear" w:color="auto" w:fill="auto"/>
            <w:vAlign w:val="center"/>
          </w:tcPr>
          <w:p w:rsidR="005E6B14" w:rsidRPr="005E6B14" w:rsidRDefault="005E6B14" w:rsidP="00A718E5">
            <w:pPr>
              <w:spacing w:after="120"/>
              <w:jc w:val="center"/>
              <w:rPr>
                <w:sz w:val="18"/>
                <w:szCs w:val="20"/>
              </w:rPr>
            </w:pPr>
            <w:r w:rsidRPr="005E6B14">
              <w:rPr>
                <w:sz w:val="18"/>
                <w:szCs w:val="20"/>
              </w:rPr>
              <w:t>90</w:t>
            </w:r>
          </w:p>
        </w:tc>
      </w:tr>
      <w:tr w:rsidR="005E6B14" w:rsidRPr="00621BF1" w:rsidTr="00A718E5">
        <w:trPr>
          <w:trHeight w:val="300"/>
        </w:trPr>
        <w:tc>
          <w:tcPr>
            <w:tcW w:w="1980" w:type="dxa"/>
            <w:shd w:val="clear" w:color="auto" w:fill="auto"/>
            <w:vAlign w:val="center"/>
          </w:tcPr>
          <w:p w:rsidR="005E6B14" w:rsidRPr="00621BF1" w:rsidRDefault="005E6B14" w:rsidP="00A718E5">
            <w:pPr>
              <w:spacing w:after="120"/>
              <w:rPr>
                <w:rFonts w:cs="Arial"/>
                <w:bCs/>
              </w:rPr>
            </w:pPr>
            <w:r w:rsidRPr="00621BF1">
              <w:rPr>
                <w:rFonts w:cs="Arial"/>
                <w:bCs/>
              </w:rPr>
              <w:t>Ebola</w:t>
            </w:r>
          </w:p>
        </w:tc>
        <w:tc>
          <w:tcPr>
            <w:tcW w:w="1470" w:type="dxa"/>
            <w:shd w:val="clear" w:color="auto" w:fill="auto"/>
          </w:tcPr>
          <w:p w:rsidR="005E6B14" w:rsidRPr="00621BF1" w:rsidRDefault="005E6B14" w:rsidP="00A718E5">
            <w:pPr>
              <w:jc w:val="center"/>
            </w:pPr>
            <w:r w:rsidRPr="00621BF1">
              <w:rPr>
                <w:sz w:val="18"/>
                <w:szCs w:val="20"/>
              </w:rPr>
              <w:t>N/A</w:t>
            </w:r>
          </w:p>
        </w:tc>
        <w:tc>
          <w:tcPr>
            <w:tcW w:w="900" w:type="dxa"/>
            <w:shd w:val="clear" w:color="auto" w:fill="auto"/>
            <w:vAlign w:val="center"/>
          </w:tcPr>
          <w:p w:rsidR="005E6B14" w:rsidRPr="00621BF1" w:rsidRDefault="005E6B14" w:rsidP="00A718E5">
            <w:pPr>
              <w:spacing w:after="120"/>
              <w:jc w:val="center"/>
              <w:rPr>
                <w:sz w:val="18"/>
                <w:szCs w:val="20"/>
              </w:rPr>
            </w:pPr>
            <w:r w:rsidRPr="00621BF1">
              <w:rPr>
                <w:sz w:val="18"/>
                <w:szCs w:val="20"/>
              </w:rPr>
              <w:t>N/A</w:t>
            </w:r>
          </w:p>
        </w:tc>
        <w:tc>
          <w:tcPr>
            <w:tcW w:w="785" w:type="dxa"/>
            <w:shd w:val="clear" w:color="auto" w:fill="auto"/>
            <w:vAlign w:val="center"/>
          </w:tcPr>
          <w:p w:rsidR="005E6B14" w:rsidRPr="00621BF1" w:rsidRDefault="005E6B14" w:rsidP="00A718E5">
            <w:pPr>
              <w:spacing w:after="120"/>
              <w:jc w:val="center"/>
              <w:rPr>
                <w:sz w:val="18"/>
                <w:szCs w:val="20"/>
              </w:rPr>
            </w:pPr>
            <w:r w:rsidRPr="00621BF1">
              <w:rPr>
                <w:sz w:val="18"/>
                <w:szCs w:val="20"/>
              </w:rPr>
              <w:t>N/A</w:t>
            </w:r>
          </w:p>
        </w:tc>
        <w:tc>
          <w:tcPr>
            <w:tcW w:w="850" w:type="dxa"/>
            <w:shd w:val="clear" w:color="auto" w:fill="auto"/>
            <w:vAlign w:val="center"/>
          </w:tcPr>
          <w:p w:rsidR="005E6B14" w:rsidRPr="00621BF1" w:rsidRDefault="005E6B14" w:rsidP="00A718E5">
            <w:pPr>
              <w:spacing w:after="120"/>
              <w:jc w:val="center"/>
              <w:rPr>
                <w:sz w:val="18"/>
                <w:szCs w:val="20"/>
              </w:rPr>
            </w:pPr>
            <w:r w:rsidRPr="00621BF1">
              <w:rPr>
                <w:sz w:val="18"/>
                <w:szCs w:val="20"/>
              </w:rPr>
              <w:t>80</w:t>
            </w:r>
          </w:p>
        </w:tc>
        <w:tc>
          <w:tcPr>
            <w:tcW w:w="851" w:type="dxa"/>
            <w:shd w:val="clear" w:color="auto" w:fill="auto"/>
            <w:vAlign w:val="center"/>
          </w:tcPr>
          <w:p w:rsidR="005E6B14" w:rsidRPr="00621BF1" w:rsidRDefault="005E6B14" w:rsidP="00A718E5">
            <w:pPr>
              <w:spacing w:after="120"/>
              <w:jc w:val="center"/>
              <w:rPr>
                <w:sz w:val="18"/>
                <w:szCs w:val="20"/>
              </w:rPr>
            </w:pPr>
            <w:r>
              <w:rPr>
                <w:sz w:val="18"/>
                <w:szCs w:val="20"/>
              </w:rPr>
              <w:t>60</w:t>
            </w:r>
          </w:p>
        </w:tc>
        <w:tc>
          <w:tcPr>
            <w:tcW w:w="850" w:type="dxa"/>
            <w:shd w:val="clear" w:color="auto" w:fill="auto"/>
            <w:vAlign w:val="center"/>
          </w:tcPr>
          <w:p w:rsidR="005E6B14" w:rsidRPr="00621BF1" w:rsidRDefault="005E6B14" w:rsidP="00A718E5">
            <w:pPr>
              <w:spacing w:after="120"/>
              <w:jc w:val="center"/>
              <w:rPr>
                <w:sz w:val="18"/>
                <w:szCs w:val="20"/>
              </w:rPr>
            </w:pPr>
            <w:r>
              <w:rPr>
                <w:sz w:val="18"/>
                <w:szCs w:val="20"/>
              </w:rPr>
              <w:t>8</w:t>
            </w:r>
            <w:r w:rsidRPr="00621BF1">
              <w:rPr>
                <w:sz w:val="18"/>
                <w:szCs w:val="20"/>
              </w:rPr>
              <w:t>0</w:t>
            </w:r>
          </w:p>
        </w:tc>
      </w:tr>
    </w:tbl>
    <w:p w:rsidR="00A76AE5" w:rsidRPr="00621BF1" w:rsidRDefault="00A76AE5" w:rsidP="007F3638">
      <w:pPr>
        <w:pStyle w:val="Pieddepage"/>
        <w:tabs>
          <w:tab w:val="clear" w:pos="4680"/>
          <w:tab w:val="clear" w:pos="9360"/>
        </w:tabs>
        <w:spacing w:before="0" w:after="120"/>
        <w:jc w:val="both"/>
        <w:rPr>
          <w:rFonts w:cs="Arial"/>
          <w:i/>
          <w:sz w:val="24"/>
          <w:szCs w:val="24"/>
        </w:rPr>
      </w:pPr>
    </w:p>
    <w:p w:rsidR="00431B9D" w:rsidRPr="00621BF1" w:rsidRDefault="00431B9D" w:rsidP="00193A7E">
      <w:pPr>
        <w:pStyle w:val="Titre5"/>
      </w:pPr>
      <w:r w:rsidRPr="00621BF1">
        <w:t>Activités de vaccination supplémentaires</w:t>
      </w:r>
    </w:p>
    <w:p w:rsidR="00431B9D" w:rsidRPr="00621BF1" w:rsidRDefault="00431B9D" w:rsidP="00193A7E">
      <w:pPr>
        <w:pStyle w:val="Pieddepage"/>
        <w:numPr>
          <w:ilvl w:val="0"/>
          <w:numId w:val="9"/>
        </w:numPr>
        <w:tabs>
          <w:tab w:val="clear" w:pos="4680"/>
          <w:tab w:val="clear" w:pos="9360"/>
        </w:tabs>
        <w:spacing w:before="0" w:after="120"/>
        <w:jc w:val="both"/>
        <w:rPr>
          <w:rFonts w:cs="Arial"/>
          <w:i/>
          <w:sz w:val="24"/>
          <w:szCs w:val="24"/>
        </w:rPr>
      </w:pPr>
      <w:r w:rsidRPr="00621BF1">
        <w:rPr>
          <w:rFonts w:cs="Arial"/>
          <w:i/>
          <w:sz w:val="24"/>
          <w:szCs w:val="24"/>
        </w:rPr>
        <w:t xml:space="preserve">D’ici fin 2020, les AVS (Polio, rougeole, Méningite, Fièvre jaune, Tétanos) organisées atteignent au moins 95% de leurs cibles. </w:t>
      </w:r>
    </w:p>
    <w:p w:rsidR="00431B9D" w:rsidRPr="00621BF1" w:rsidRDefault="00431B9D" w:rsidP="00193A7E">
      <w:pPr>
        <w:pStyle w:val="Titre5"/>
      </w:pPr>
      <w:r w:rsidRPr="00621BF1">
        <w:t>Qualité des données de vaccination</w:t>
      </w:r>
    </w:p>
    <w:p w:rsidR="00290BD5" w:rsidRPr="00621BF1" w:rsidRDefault="00290BD5" w:rsidP="00290BD5">
      <w:pPr>
        <w:pStyle w:val="Pieddepage"/>
        <w:numPr>
          <w:ilvl w:val="0"/>
          <w:numId w:val="9"/>
        </w:numPr>
        <w:tabs>
          <w:tab w:val="clear" w:pos="4680"/>
          <w:tab w:val="clear" w:pos="9360"/>
        </w:tabs>
        <w:spacing w:before="0" w:after="120"/>
        <w:jc w:val="both"/>
        <w:rPr>
          <w:rFonts w:cs="Arial"/>
          <w:i/>
          <w:sz w:val="24"/>
          <w:szCs w:val="24"/>
        </w:rPr>
      </w:pPr>
      <w:r w:rsidRPr="00621BF1">
        <w:rPr>
          <w:rFonts w:cs="Arial"/>
          <w:i/>
          <w:sz w:val="24"/>
          <w:szCs w:val="24"/>
        </w:rPr>
        <w:t>D’ici fin 2020, au moins 90% des districts sanitaires  fournissent des données de qualité en temps réel.</w:t>
      </w:r>
    </w:p>
    <w:p w:rsidR="00431B9D" w:rsidRPr="00621BF1" w:rsidRDefault="00431B9D" w:rsidP="00193A7E">
      <w:pPr>
        <w:pStyle w:val="Titre5"/>
      </w:pPr>
      <w:r w:rsidRPr="00621BF1">
        <w:t>Vaccins, chaine de froid et logistique</w:t>
      </w:r>
    </w:p>
    <w:p w:rsidR="00E718AB" w:rsidRPr="00621BF1" w:rsidRDefault="00E718AB" w:rsidP="00193A7E">
      <w:pPr>
        <w:pStyle w:val="Pieddepage"/>
        <w:numPr>
          <w:ilvl w:val="0"/>
          <w:numId w:val="9"/>
        </w:numPr>
        <w:tabs>
          <w:tab w:val="clear" w:pos="4680"/>
          <w:tab w:val="clear" w:pos="9360"/>
        </w:tabs>
        <w:spacing w:before="0" w:after="120"/>
        <w:jc w:val="both"/>
        <w:rPr>
          <w:rFonts w:cs="Arial"/>
          <w:i/>
          <w:sz w:val="24"/>
          <w:szCs w:val="24"/>
        </w:rPr>
      </w:pPr>
      <w:r w:rsidRPr="00621BF1">
        <w:rPr>
          <w:rFonts w:cs="Arial"/>
          <w:i/>
          <w:sz w:val="24"/>
          <w:szCs w:val="24"/>
        </w:rPr>
        <w:t xml:space="preserve">D'ici fin 2020, augmenter de 37% à 80% la gestion efficace des vaccins (GEV) à tous les niveaux ; </w:t>
      </w:r>
    </w:p>
    <w:p w:rsidR="00BA7273" w:rsidRDefault="00E718AB" w:rsidP="00193A7E">
      <w:pPr>
        <w:pStyle w:val="Pieddepage"/>
        <w:numPr>
          <w:ilvl w:val="0"/>
          <w:numId w:val="9"/>
        </w:numPr>
        <w:tabs>
          <w:tab w:val="clear" w:pos="4680"/>
          <w:tab w:val="clear" w:pos="9360"/>
        </w:tabs>
        <w:spacing w:before="0" w:after="120"/>
        <w:jc w:val="both"/>
        <w:rPr>
          <w:rFonts w:cs="Arial"/>
          <w:i/>
          <w:sz w:val="24"/>
          <w:szCs w:val="24"/>
        </w:rPr>
      </w:pPr>
      <w:r w:rsidRPr="00621BF1">
        <w:rPr>
          <w:rFonts w:cs="Arial"/>
          <w:i/>
          <w:sz w:val="24"/>
          <w:szCs w:val="24"/>
        </w:rPr>
        <w:t xml:space="preserve">D’ici </w:t>
      </w:r>
      <w:r w:rsidR="00BA7273">
        <w:rPr>
          <w:rFonts w:cs="Arial"/>
          <w:i/>
          <w:sz w:val="24"/>
          <w:szCs w:val="24"/>
        </w:rPr>
        <w:t xml:space="preserve">fin </w:t>
      </w:r>
      <w:r w:rsidRPr="00621BF1">
        <w:rPr>
          <w:rFonts w:cs="Arial"/>
          <w:i/>
          <w:sz w:val="24"/>
          <w:szCs w:val="24"/>
        </w:rPr>
        <w:t>2020</w:t>
      </w:r>
      <w:r w:rsidR="00431B9D" w:rsidRPr="00621BF1">
        <w:rPr>
          <w:rFonts w:cs="Arial"/>
          <w:i/>
          <w:sz w:val="24"/>
          <w:szCs w:val="24"/>
        </w:rPr>
        <w:t xml:space="preserve">, </w:t>
      </w:r>
      <w:r w:rsidR="00BA7273">
        <w:rPr>
          <w:rFonts w:cs="Arial"/>
          <w:i/>
          <w:sz w:val="24"/>
          <w:szCs w:val="24"/>
        </w:rPr>
        <w:t>au moins 80% des districts disposent d’un système efficace de gestion des déchets respectant les normes OMS et environnementales</w:t>
      </w:r>
    </w:p>
    <w:p w:rsidR="00431B9D" w:rsidRPr="00621BF1" w:rsidRDefault="00431B9D" w:rsidP="00193A7E">
      <w:pPr>
        <w:pStyle w:val="Titre5"/>
      </w:pPr>
      <w:r w:rsidRPr="00621BF1">
        <w:t>Surveillance des maladies évitables par la vaccination</w:t>
      </w:r>
    </w:p>
    <w:p w:rsidR="00431B9D" w:rsidRPr="00621BF1" w:rsidRDefault="00431B9D" w:rsidP="00193A7E">
      <w:pPr>
        <w:pStyle w:val="Pieddepage"/>
        <w:numPr>
          <w:ilvl w:val="0"/>
          <w:numId w:val="9"/>
        </w:numPr>
        <w:tabs>
          <w:tab w:val="clear" w:pos="4680"/>
          <w:tab w:val="clear" w:pos="9360"/>
        </w:tabs>
        <w:spacing w:before="0" w:after="120"/>
        <w:jc w:val="both"/>
        <w:rPr>
          <w:rFonts w:cs="Arial"/>
          <w:i/>
          <w:sz w:val="24"/>
          <w:szCs w:val="24"/>
        </w:rPr>
      </w:pPr>
      <w:r w:rsidRPr="00621BF1">
        <w:rPr>
          <w:rFonts w:cs="Arial"/>
          <w:i/>
          <w:sz w:val="24"/>
          <w:szCs w:val="24"/>
        </w:rPr>
        <w:t>D'ici fin 2018, atteindre les indicateurs de surveillance des PFA dans le cadre de l'éradication de la poliomyélite.</w:t>
      </w:r>
    </w:p>
    <w:p w:rsidR="00431B9D" w:rsidRPr="00621BF1" w:rsidRDefault="00431B9D" w:rsidP="00193A7E">
      <w:pPr>
        <w:pStyle w:val="Pieddepage"/>
        <w:numPr>
          <w:ilvl w:val="0"/>
          <w:numId w:val="9"/>
        </w:numPr>
        <w:tabs>
          <w:tab w:val="clear" w:pos="4680"/>
          <w:tab w:val="clear" w:pos="9360"/>
        </w:tabs>
        <w:spacing w:before="0" w:after="120"/>
        <w:jc w:val="both"/>
        <w:rPr>
          <w:rFonts w:cs="Arial"/>
          <w:i/>
          <w:sz w:val="24"/>
          <w:szCs w:val="24"/>
        </w:rPr>
      </w:pPr>
      <w:r w:rsidRPr="00621BF1">
        <w:rPr>
          <w:rFonts w:cs="Arial"/>
          <w:i/>
          <w:sz w:val="24"/>
          <w:szCs w:val="24"/>
        </w:rPr>
        <w:t>D’ici fin 2020, atteindre les indicateurs de la surveillance de la rougeole, de la fièvre jaune, de la méningite, de la coqueluche et de l’élimination du TMN.</w:t>
      </w:r>
    </w:p>
    <w:p w:rsidR="00431B9D" w:rsidRPr="00621BF1" w:rsidRDefault="00431B9D" w:rsidP="00193A7E">
      <w:pPr>
        <w:pStyle w:val="Pieddepage"/>
        <w:numPr>
          <w:ilvl w:val="0"/>
          <w:numId w:val="9"/>
        </w:numPr>
        <w:tabs>
          <w:tab w:val="clear" w:pos="4680"/>
          <w:tab w:val="clear" w:pos="9360"/>
        </w:tabs>
        <w:spacing w:before="0" w:after="120"/>
        <w:jc w:val="both"/>
        <w:rPr>
          <w:rFonts w:cs="Arial"/>
          <w:i/>
          <w:sz w:val="24"/>
          <w:szCs w:val="24"/>
        </w:rPr>
      </w:pPr>
      <w:r w:rsidRPr="00621BF1">
        <w:rPr>
          <w:rFonts w:cs="Arial"/>
          <w:i/>
          <w:sz w:val="24"/>
          <w:szCs w:val="24"/>
        </w:rPr>
        <w:t xml:space="preserve">D’ici fin juillet </w:t>
      </w:r>
      <w:r w:rsidR="00B155F0" w:rsidRPr="00621BF1">
        <w:rPr>
          <w:rFonts w:cs="Arial"/>
          <w:i/>
          <w:sz w:val="24"/>
          <w:szCs w:val="24"/>
        </w:rPr>
        <w:t>20</w:t>
      </w:r>
      <w:r w:rsidR="00B155F0">
        <w:rPr>
          <w:rFonts w:cs="Arial"/>
          <w:i/>
          <w:sz w:val="24"/>
          <w:szCs w:val="24"/>
        </w:rPr>
        <w:t>20</w:t>
      </w:r>
      <w:r w:rsidRPr="00621BF1">
        <w:rPr>
          <w:rFonts w:cs="Arial"/>
          <w:i/>
          <w:sz w:val="24"/>
          <w:szCs w:val="24"/>
        </w:rPr>
        <w:t xml:space="preserve">, atteindre au moins </w:t>
      </w:r>
      <w:r w:rsidR="00B155F0">
        <w:rPr>
          <w:rFonts w:cs="Arial"/>
          <w:i/>
          <w:sz w:val="24"/>
          <w:szCs w:val="24"/>
        </w:rPr>
        <w:t>6</w:t>
      </w:r>
      <w:r w:rsidRPr="00621BF1">
        <w:rPr>
          <w:rFonts w:cs="Arial"/>
          <w:i/>
          <w:sz w:val="24"/>
          <w:szCs w:val="24"/>
        </w:rPr>
        <w:t>0% des structures sanitaires qui notifient et rapportent les données sur les  MAPI.</w:t>
      </w:r>
    </w:p>
    <w:p w:rsidR="00431B9D" w:rsidRPr="00621BF1" w:rsidRDefault="00431B9D" w:rsidP="00193A7E">
      <w:pPr>
        <w:pStyle w:val="Titre5"/>
      </w:pPr>
      <w:r w:rsidRPr="00621BF1">
        <w:t>Communication</w:t>
      </w:r>
    </w:p>
    <w:p w:rsidR="00E03DF1" w:rsidRPr="00621BF1" w:rsidRDefault="00E03DF1" w:rsidP="00193A7E">
      <w:pPr>
        <w:pStyle w:val="Pieddepage"/>
        <w:numPr>
          <w:ilvl w:val="0"/>
          <w:numId w:val="9"/>
        </w:numPr>
        <w:tabs>
          <w:tab w:val="clear" w:pos="4680"/>
          <w:tab w:val="clear" w:pos="9360"/>
        </w:tabs>
        <w:spacing w:before="0" w:after="120"/>
        <w:jc w:val="both"/>
        <w:rPr>
          <w:rFonts w:cs="Arial"/>
          <w:i/>
          <w:sz w:val="24"/>
          <w:szCs w:val="24"/>
        </w:rPr>
      </w:pPr>
      <w:r w:rsidRPr="00621BF1">
        <w:rPr>
          <w:rFonts w:cs="Arial"/>
          <w:i/>
          <w:sz w:val="24"/>
          <w:szCs w:val="24"/>
        </w:rPr>
        <w:t>D’ici fin 2020, 90% des individus et des collectivités comprennent l’intérêt des vaccins et réclament la vaccination en tant que droit et responsabilité.</w:t>
      </w:r>
    </w:p>
    <w:p w:rsidR="00431B9D" w:rsidRPr="00621BF1" w:rsidRDefault="00431B9D" w:rsidP="00193A7E">
      <w:pPr>
        <w:pStyle w:val="Titre5"/>
      </w:pPr>
      <w:r w:rsidRPr="00621BF1">
        <w:t>Gestion du programme PEV</w:t>
      </w:r>
    </w:p>
    <w:p w:rsidR="006B1B89" w:rsidRPr="00621BF1" w:rsidRDefault="006B1B89" w:rsidP="006B1B89">
      <w:pPr>
        <w:pStyle w:val="Pieddepage"/>
        <w:numPr>
          <w:ilvl w:val="0"/>
          <w:numId w:val="9"/>
        </w:numPr>
        <w:tabs>
          <w:tab w:val="clear" w:pos="4680"/>
          <w:tab w:val="clear" w:pos="9360"/>
        </w:tabs>
        <w:spacing w:before="0" w:after="120"/>
        <w:jc w:val="both"/>
        <w:rPr>
          <w:rFonts w:cs="Arial"/>
          <w:i/>
          <w:sz w:val="24"/>
          <w:szCs w:val="24"/>
        </w:rPr>
        <w:sectPr w:rsidR="006B1B89" w:rsidRPr="00621BF1" w:rsidSect="002A5AFB">
          <w:footerReference w:type="default" r:id="rId33"/>
          <w:type w:val="continuous"/>
          <w:pgSz w:w="11906" w:h="16838"/>
          <w:pgMar w:top="1440" w:right="1080" w:bottom="1440" w:left="1080" w:header="709" w:footer="709" w:gutter="0"/>
          <w:cols w:space="708"/>
          <w:docGrid w:linePitch="360"/>
        </w:sectPr>
      </w:pPr>
      <w:r w:rsidRPr="00621BF1">
        <w:rPr>
          <w:rFonts w:cs="Arial"/>
          <w:i/>
          <w:sz w:val="24"/>
          <w:szCs w:val="24"/>
        </w:rPr>
        <w:t>Accroitre de 52% à 70% la fonctionnalité des structures de coordination, de leadership, de gouvernance et de mobilisation des ressources à tous les niveaux de 2017- 2020</w:t>
      </w:r>
    </w:p>
    <w:p w:rsidR="00431B9D" w:rsidRPr="00621BF1" w:rsidRDefault="00431B9D" w:rsidP="004E32E1">
      <w:pPr>
        <w:pStyle w:val="Titre2"/>
      </w:pPr>
      <w:bookmarkStart w:id="176" w:name="_Toc452745790"/>
      <w:bookmarkStart w:id="177" w:name="_Toc452746522"/>
      <w:bookmarkStart w:id="178" w:name="_Toc452747541"/>
      <w:bookmarkStart w:id="179" w:name="_Toc458593665"/>
      <w:r w:rsidRPr="00621BF1">
        <w:lastRenderedPageBreak/>
        <w:t>PLAN DE MISE EN ŒUVRE DU PPAC 2016-2020</w:t>
      </w:r>
      <w:bookmarkEnd w:id="176"/>
      <w:bookmarkEnd w:id="177"/>
      <w:bookmarkEnd w:id="178"/>
      <w:bookmarkEnd w:id="179"/>
    </w:p>
    <w:tbl>
      <w:tblPr>
        <w:tblW w:w="5000" w:type="pct"/>
        <w:tblLook w:val="04A0" w:firstRow="1" w:lastRow="0" w:firstColumn="1" w:lastColumn="0" w:noHBand="0" w:noVBand="1"/>
      </w:tblPr>
      <w:tblGrid>
        <w:gridCol w:w="1819"/>
        <w:gridCol w:w="2095"/>
        <w:gridCol w:w="4343"/>
        <w:gridCol w:w="3127"/>
        <w:gridCol w:w="702"/>
        <w:gridCol w:w="702"/>
        <w:gridCol w:w="702"/>
        <w:gridCol w:w="702"/>
        <w:gridCol w:w="702"/>
      </w:tblGrid>
      <w:tr w:rsidR="00020170" w:rsidRPr="00621BF1" w:rsidTr="00020170">
        <w:trPr>
          <w:trHeight w:val="405"/>
          <w:tblHeader/>
        </w:trPr>
        <w:tc>
          <w:tcPr>
            <w:tcW w:w="5000" w:type="pct"/>
            <w:gridSpan w:val="9"/>
            <w:tcBorders>
              <w:top w:val="single" w:sz="8" w:space="0" w:color="auto"/>
              <w:left w:val="single" w:sz="8" w:space="0" w:color="auto"/>
              <w:bottom w:val="single" w:sz="8" w:space="0" w:color="auto"/>
              <w:right w:val="single" w:sz="8" w:space="0" w:color="000000"/>
            </w:tcBorders>
            <w:shd w:val="clear" w:color="000000" w:fill="C45911"/>
            <w:noWrap/>
            <w:vAlign w:val="center"/>
            <w:hideMark/>
          </w:tcPr>
          <w:p w:rsidR="00020170" w:rsidRPr="00621BF1" w:rsidRDefault="00020170" w:rsidP="00020170">
            <w:pPr>
              <w:spacing w:after="0" w:line="240" w:lineRule="auto"/>
              <w:ind w:firstLineChars="200" w:firstLine="442"/>
              <w:rPr>
                <w:rFonts w:eastAsia="Times New Roman" w:cs="Times New Roman"/>
                <w:b/>
                <w:bCs/>
                <w:color w:val="FFFFFF"/>
                <w:lang w:val="en-US"/>
              </w:rPr>
            </w:pPr>
            <w:r w:rsidRPr="00621BF1">
              <w:rPr>
                <w:rFonts w:eastAsia="Times New Roman" w:cs="Times New Roman"/>
                <w:b/>
                <w:bCs/>
                <w:color w:val="FFFFFF"/>
                <w:lang w:val="en-US"/>
              </w:rPr>
              <w:t>A.  PRESTATION DE SERVICES </w:t>
            </w:r>
          </w:p>
        </w:tc>
      </w:tr>
      <w:tr w:rsidR="00931AB2" w:rsidRPr="00621BF1" w:rsidTr="00020170">
        <w:trPr>
          <w:trHeight w:val="405"/>
          <w:tblHeader/>
        </w:trPr>
        <w:tc>
          <w:tcPr>
            <w:tcW w:w="728" w:type="pct"/>
            <w:vMerge w:val="restart"/>
            <w:tcBorders>
              <w:top w:val="nil"/>
              <w:left w:val="single" w:sz="8" w:space="0" w:color="auto"/>
              <w:bottom w:val="single" w:sz="8" w:space="0" w:color="000000"/>
              <w:right w:val="single" w:sz="8" w:space="0" w:color="auto"/>
            </w:tcBorders>
            <w:shd w:val="clear" w:color="000000" w:fill="757171"/>
            <w:vAlign w:val="center"/>
            <w:hideMark/>
          </w:tcPr>
          <w:p w:rsidR="00020170" w:rsidRPr="00621BF1" w:rsidRDefault="00020170" w:rsidP="00020170">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Objectifs</w:t>
            </w:r>
            <w:proofErr w:type="spellEnd"/>
          </w:p>
        </w:tc>
        <w:tc>
          <w:tcPr>
            <w:tcW w:w="820" w:type="pct"/>
            <w:vMerge w:val="restart"/>
            <w:tcBorders>
              <w:top w:val="nil"/>
              <w:left w:val="single" w:sz="8" w:space="0" w:color="auto"/>
              <w:bottom w:val="single" w:sz="8" w:space="0" w:color="000000"/>
              <w:right w:val="single" w:sz="8" w:space="0" w:color="auto"/>
            </w:tcBorders>
            <w:shd w:val="clear" w:color="000000" w:fill="757171"/>
            <w:vAlign w:val="center"/>
            <w:hideMark/>
          </w:tcPr>
          <w:p w:rsidR="00020170" w:rsidRPr="00621BF1" w:rsidRDefault="00020170" w:rsidP="00020170">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Stratégies</w:t>
            </w:r>
            <w:proofErr w:type="spellEnd"/>
          </w:p>
        </w:tc>
        <w:tc>
          <w:tcPr>
            <w:tcW w:w="1386" w:type="pct"/>
            <w:vMerge w:val="restart"/>
            <w:tcBorders>
              <w:top w:val="nil"/>
              <w:left w:val="single" w:sz="8" w:space="0" w:color="auto"/>
              <w:bottom w:val="single" w:sz="8" w:space="0" w:color="000000"/>
              <w:right w:val="single" w:sz="8" w:space="0" w:color="auto"/>
            </w:tcBorders>
            <w:shd w:val="clear" w:color="000000" w:fill="757171"/>
            <w:vAlign w:val="center"/>
            <w:hideMark/>
          </w:tcPr>
          <w:p w:rsidR="00020170" w:rsidRPr="00621BF1" w:rsidRDefault="00020170" w:rsidP="00020170">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Activités</w:t>
            </w:r>
            <w:proofErr w:type="spellEnd"/>
            <w:r w:rsidRPr="00621BF1">
              <w:rPr>
                <w:rFonts w:eastAsia="Times New Roman" w:cs="Times New Roman"/>
                <w:b/>
                <w:bCs/>
                <w:color w:val="FFFFFF"/>
                <w:lang w:val="en-US"/>
              </w:rPr>
              <w:t xml:space="preserve"> </w:t>
            </w:r>
            <w:proofErr w:type="spellStart"/>
            <w:r w:rsidRPr="00621BF1">
              <w:rPr>
                <w:rFonts w:eastAsia="Times New Roman" w:cs="Times New Roman"/>
                <w:b/>
                <w:bCs/>
                <w:color w:val="FFFFFF"/>
                <w:lang w:val="en-US"/>
              </w:rPr>
              <w:t>essentielles</w:t>
            </w:r>
            <w:proofErr w:type="spellEnd"/>
          </w:p>
        </w:tc>
        <w:tc>
          <w:tcPr>
            <w:tcW w:w="501" w:type="pct"/>
            <w:vMerge w:val="restart"/>
            <w:tcBorders>
              <w:top w:val="nil"/>
              <w:left w:val="single" w:sz="8" w:space="0" w:color="auto"/>
              <w:bottom w:val="single" w:sz="8" w:space="0" w:color="000000"/>
              <w:right w:val="single" w:sz="8" w:space="0" w:color="auto"/>
            </w:tcBorders>
            <w:shd w:val="clear" w:color="000000" w:fill="757171"/>
            <w:vAlign w:val="center"/>
            <w:hideMark/>
          </w:tcPr>
          <w:p w:rsidR="00020170" w:rsidRPr="00621BF1" w:rsidRDefault="00020170" w:rsidP="00020170">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Responsables</w:t>
            </w:r>
            <w:proofErr w:type="spellEnd"/>
          </w:p>
        </w:tc>
        <w:tc>
          <w:tcPr>
            <w:tcW w:w="1565" w:type="pct"/>
            <w:gridSpan w:val="5"/>
            <w:tcBorders>
              <w:top w:val="single" w:sz="8" w:space="0" w:color="auto"/>
              <w:left w:val="nil"/>
              <w:bottom w:val="single" w:sz="8" w:space="0" w:color="auto"/>
              <w:right w:val="single" w:sz="8" w:space="0" w:color="000000"/>
            </w:tcBorders>
            <w:shd w:val="clear" w:color="000000" w:fill="757171"/>
            <w:noWrap/>
            <w:vAlign w:val="center"/>
            <w:hideMark/>
          </w:tcPr>
          <w:p w:rsidR="00020170" w:rsidRPr="00621BF1" w:rsidRDefault="00020170" w:rsidP="00020170">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Chronogramme</w:t>
            </w:r>
            <w:proofErr w:type="spellEnd"/>
          </w:p>
        </w:tc>
      </w:tr>
      <w:tr w:rsidR="00931AB2" w:rsidRPr="00621BF1" w:rsidTr="00020170">
        <w:trPr>
          <w:trHeight w:val="405"/>
          <w:tblHeader/>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b/>
                <w:bCs/>
                <w:color w:val="FFFFFF"/>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b/>
                <w:bCs/>
                <w:color w:val="FFFFFF"/>
                <w:lang w:val="en-US"/>
              </w:rPr>
            </w:pPr>
          </w:p>
        </w:tc>
        <w:tc>
          <w:tcPr>
            <w:tcW w:w="1386"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b/>
                <w:bCs/>
                <w:color w:val="FFFFFF"/>
                <w:lang w:val="en-US"/>
              </w:rPr>
            </w:pPr>
          </w:p>
        </w:tc>
        <w:tc>
          <w:tcPr>
            <w:tcW w:w="501"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b/>
                <w:bCs/>
                <w:color w:val="FFFFFF"/>
                <w:lang w:val="en-US"/>
              </w:rPr>
            </w:pPr>
          </w:p>
        </w:tc>
        <w:tc>
          <w:tcPr>
            <w:tcW w:w="317" w:type="pct"/>
            <w:tcBorders>
              <w:top w:val="nil"/>
              <w:left w:val="nil"/>
              <w:bottom w:val="single" w:sz="8" w:space="0" w:color="auto"/>
              <w:right w:val="single" w:sz="8" w:space="0" w:color="auto"/>
            </w:tcBorders>
            <w:shd w:val="clear" w:color="000000" w:fill="757171"/>
            <w:vAlign w:val="center"/>
            <w:hideMark/>
          </w:tcPr>
          <w:p w:rsidR="00020170" w:rsidRPr="00621BF1" w:rsidRDefault="00020170" w:rsidP="00020170">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2016</w:t>
            </w:r>
          </w:p>
        </w:tc>
        <w:tc>
          <w:tcPr>
            <w:tcW w:w="317" w:type="pct"/>
            <w:tcBorders>
              <w:top w:val="nil"/>
              <w:left w:val="nil"/>
              <w:bottom w:val="single" w:sz="8" w:space="0" w:color="auto"/>
              <w:right w:val="single" w:sz="8" w:space="0" w:color="auto"/>
            </w:tcBorders>
            <w:shd w:val="clear" w:color="000000" w:fill="757171"/>
            <w:vAlign w:val="center"/>
            <w:hideMark/>
          </w:tcPr>
          <w:p w:rsidR="00020170" w:rsidRPr="00621BF1" w:rsidRDefault="00020170" w:rsidP="00020170">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2017</w:t>
            </w:r>
          </w:p>
        </w:tc>
        <w:tc>
          <w:tcPr>
            <w:tcW w:w="316" w:type="pct"/>
            <w:tcBorders>
              <w:top w:val="nil"/>
              <w:left w:val="nil"/>
              <w:bottom w:val="single" w:sz="8" w:space="0" w:color="auto"/>
              <w:right w:val="single" w:sz="8" w:space="0" w:color="auto"/>
            </w:tcBorders>
            <w:shd w:val="clear" w:color="000000" w:fill="757171"/>
            <w:vAlign w:val="center"/>
            <w:hideMark/>
          </w:tcPr>
          <w:p w:rsidR="00020170" w:rsidRPr="00621BF1" w:rsidRDefault="00020170" w:rsidP="00020170">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2018</w:t>
            </w:r>
          </w:p>
        </w:tc>
        <w:tc>
          <w:tcPr>
            <w:tcW w:w="310" w:type="pct"/>
            <w:tcBorders>
              <w:top w:val="nil"/>
              <w:left w:val="nil"/>
              <w:bottom w:val="single" w:sz="8" w:space="0" w:color="auto"/>
              <w:right w:val="single" w:sz="8" w:space="0" w:color="auto"/>
            </w:tcBorders>
            <w:shd w:val="clear" w:color="000000" w:fill="757171"/>
            <w:vAlign w:val="center"/>
            <w:hideMark/>
          </w:tcPr>
          <w:p w:rsidR="00020170" w:rsidRPr="00621BF1" w:rsidRDefault="00020170" w:rsidP="00020170">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2019</w:t>
            </w:r>
          </w:p>
        </w:tc>
        <w:tc>
          <w:tcPr>
            <w:tcW w:w="305" w:type="pct"/>
            <w:tcBorders>
              <w:top w:val="nil"/>
              <w:left w:val="nil"/>
              <w:bottom w:val="single" w:sz="8" w:space="0" w:color="auto"/>
              <w:right w:val="single" w:sz="8" w:space="0" w:color="auto"/>
            </w:tcBorders>
            <w:shd w:val="clear" w:color="000000" w:fill="757171"/>
            <w:vAlign w:val="center"/>
            <w:hideMark/>
          </w:tcPr>
          <w:p w:rsidR="00020170" w:rsidRPr="00621BF1" w:rsidRDefault="00020170" w:rsidP="00020170">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2020</w:t>
            </w:r>
          </w:p>
        </w:tc>
      </w:tr>
      <w:tr w:rsidR="00931AB2" w:rsidRPr="00621BF1" w:rsidTr="00020170">
        <w:trPr>
          <w:trHeight w:val="961"/>
        </w:trPr>
        <w:tc>
          <w:tcPr>
            <w:tcW w:w="72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B155F0">
            <w:pPr>
              <w:spacing w:after="0" w:line="240" w:lineRule="auto"/>
              <w:jc w:val="center"/>
              <w:rPr>
                <w:rFonts w:eastAsia="Times New Roman" w:cs="Times New Roman"/>
                <w:color w:val="000000"/>
              </w:rPr>
            </w:pPr>
            <w:r w:rsidRPr="00621BF1">
              <w:rPr>
                <w:rFonts w:eastAsia="Times New Roman" w:cs="Times New Roman"/>
                <w:color w:val="000000"/>
              </w:rPr>
              <w:t>D’ici à 2021, augmenter la couverture des enfants complètement vaccinés (DTC-Hepb</w:t>
            </w:r>
            <w:r w:rsidR="00B155F0">
              <w:rPr>
                <w:rFonts w:eastAsia="Times New Roman" w:cs="Times New Roman"/>
                <w:color w:val="000000"/>
              </w:rPr>
              <w:t>-</w:t>
            </w:r>
            <w:r w:rsidRPr="00621BF1">
              <w:rPr>
                <w:rFonts w:eastAsia="Times New Roman" w:cs="Times New Roman"/>
                <w:color w:val="000000"/>
              </w:rPr>
              <w:t>Hib3 et en VAR) de 53,4% à au moins 90% au niveau national et  à 80% dans tous les 38 districts sanitaires  de façon équitable</w:t>
            </w:r>
          </w:p>
        </w:tc>
        <w:tc>
          <w:tcPr>
            <w:tcW w:w="8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rPr>
            </w:pPr>
            <w:r w:rsidRPr="00621BF1">
              <w:rPr>
                <w:rFonts w:eastAsia="Times New Roman" w:cs="Times New Roman"/>
                <w:color w:val="000000"/>
              </w:rPr>
              <w:t xml:space="preserve">Mise en œuvre effective de l’approche ACD/ACC/ACE  </w:t>
            </w: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Eriger 600 postes de santé / structures privées/associatives/confessionnelles/garnisons en sites fixes de vaccination </w:t>
            </w:r>
          </w:p>
        </w:tc>
        <w:tc>
          <w:tcPr>
            <w:tcW w:w="501" w:type="pct"/>
            <w:tcBorders>
              <w:top w:val="nil"/>
              <w:left w:val="nil"/>
              <w:bottom w:val="single" w:sz="8" w:space="0" w:color="auto"/>
              <w:right w:val="single" w:sz="8" w:space="0" w:color="auto"/>
            </w:tcBorders>
            <w:shd w:val="clear" w:color="000000" w:fill="FFFFFF"/>
            <w:noWrap/>
            <w:vAlign w:val="center"/>
            <w:hideMark/>
          </w:tcPr>
          <w:p w:rsidR="00020170" w:rsidRPr="00621BF1" w:rsidRDefault="00931AB2" w:rsidP="00B155F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p>
        </w:tc>
        <w:tc>
          <w:tcPr>
            <w:tcW w:w="317"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970"/>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Former  2020 agents de santé (deux par sites de vaccination) sur la mise en </w:t>
            </w:r>
            <w:proofErr w:type="spellStart"/>
            <w:r w:rsidRPr="00621BF1">
              <w:rPr>
                <w:rFonts w:eastAsia="Times New Roman" w:cs="Times New Roman"/>
                <w:color w:val="000000"/>
              </w:rPr>
              <w:t>oeuvre</w:t>
            </w:r>
            <w:proofErr w:type="spellEnd"/>
            <w:r w:rsidRPr="00621BF1">
              <w:rPr>
                <w:rFonts w:eastAsia="Times New Roman" w:cs="Times New Roman"/>
                <w:color w:val="000000"/>
              </w:rPr>
              <w:t xml:space="preserve"> de l'approche ACD</w:t>
            </w:r>
          </w:p>
        </w:tc>
        <w:tc>
          <w:tcPr>
            <w:tcW w:w="501" w:type="pct"/>
            <w:tcBorders>
              <w:top w:val="nil"/>
              <w:left w:val="nil"/>
              <w:bottom w:val="single" w:sz="8" w:space="0" w:color="auto"/>
              <w:right w:val="single" w:sz="8" w:space="0" w:color="auto"/>
            </w:tcBorders>
            <w:shd w:val="clear" w:color="000000" w:fill="FFFFFF"/>
            <w:noWrap/>
            <w:vAlign w:val="center"/>
            <w:hideMark/>
          </w:tcPr>
          <w:p w:rsidR="00020170" w:rsidRPr="00621BF1" w:rsidRDefault="00931AB2" w:rsidP="0002017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p>
        </w:tc>
        <w:tc>
          <w:tcPr>
            <w:tcW w:w="317"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970"/>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Organiser des séances de vaccination en </w:t>
            </w:r>
            <w:proofErr w:type="spellStart"/>
            <w:r w:rsidRPr="00621BF1">
              <w:rPr>
                <w:rFonts w:eastAsia="Times New Roman" w:cs="Times New Roman"/>
                <w:color w:val="000000"/>
              </w:rPr>
              <w:t>strategies</w:t>
            </w:r>
            <w:proofErr w:type="spellEnd"/>
            <w:r w:rsidRPr="00621BF1">
              <w:rPr>
                <w:rFonts w:eastAsia="Times New Roman" w:cs="Times New Roman"/>
                <w:color w:val="000000"/>
              </w:rPr>
              <w:t xml:space="preserve"> avancées et mobiles dans 1010 sites de vaccination</w:t>
            </w:r>
          </w:p>
        </w:tc>
        <w:tc>
          <w:tcPr>
            <w:tcW w:w="501" w:type="pct"/>
            <w:tcBorders>
              <w:top w:val="nil"/>
              <w:left w:val="nil"/>
              <w:bottom w:val="single" w:sz="8" w:space="0" w:color="auto"/>
              <w:right w:val="single" w:sz="8" w:space="0" w:color="auto"/>
            </w:tcBorders>
            <w:shd w:val="clear" w:color="000000" w:fill="FFFFFF"/>
            <w:noWrap/>
            <w:vAlign w:val="center"/>
            <w:hideMark/>
          </w:tcPr>
          <w:p w:rsidR="00020170" w:rsidRPr="00AA70AB" w:rsidRDefault="00931AB2" w:rsidP="00931AB2">
            <w:pPr>
              <w:spacing w:after="0" w:line="240" w:lineRule="auto"/>
              <w:jc w:val="center"/>
              <w:rPr>
                <w:rFonts w:eastAsia="Times New Roman" w:cs="Times New Roman"/>
                <w:color w:val="000000"/>
              </w:rPr>
            </w:pPr>
            <w:r>
              <w:rPr>
                <w:rFonts w:eastAsia="Times New Roman" w:cs="Times New Roman"/>
                <w:color w:val="000000"/>
              </w:rPr>
              <w:t xml:space="preserve">Responsable </w:t>
            </w:r>
            <w:r w:rsidR="00B155F0" w:rsidRPr="00AA70AB">
              <w:rPr>
                <w:rFonts w:eastAsia="Times New Roman" w:cs="Times New Roman"/>
                <w:color w:val="000000"/>
              </w:rPr>
              <w:t>d</w:t>
            </w:r>
            <w:r w:rsidRPr="00931AB2">
              <w:rPr>
                <w:rFonts w:eastAsia="Times New Roman" w:cs="Times New Roman"/>
                <w:color w:val="000000"/>
              </w:rPr>
              <w:t>u</w:t>
            </w:r>
            <w:r w:rsidR="00B155F0" w:rsidRPr="00AA70AB">
              <w:rPr>
                <w:rFonts w:eastAsia="Times New Roman" w:cs="Times New Roman"/>
                <w:color w:val="000000"/>
              </w:rPr>
              <w:t xml:space="preserve"> </w:t>
            </w:r>
            <w:r w:rsidR="00020170" w:rsidRPr="00AA70AB">
              <w:rPr>
                <w:rFonts w:eastAsia="Times New Roman" w:cs="Times New Roman"/>
                <w:color w:val="000000"/>
              </w:rPr>
              <w:t>C</w:t>
            </w:r>
            <w:r w:rsidR="00B155F0" w:rsidRPr="00AA70AB">
              <w:rPr>
                <w:rFonts w:eastAsia="Times New Roman" w:cs="Times New Roman"/>
                <w:color w:val="000000"/>
              </w:rPr>
              <w:t xml:space="preserve">entre de </w:t>
            </w:r>
            <w:r w:rsidR="00020170" w:rsidRPr="00AA70AB">
              <w:rPr>
                <w:rFonts w:eastAsia="Times New Roman" w:cs="Times New Roman"/>
                <w:color w:val="000000"/>
              </w:rPr>
              <w:t>S</w:t>
            </w:r>
            <w:r w:rsidR="00B155F0">
              <w:rPr>
                <w:rFonts w:eastAsia="Times New Roman" w:cs="Times New Roman"/>
                <w:color w:val="000000"/>
              </w:rPr>
              <w:t>ante</w:t>
            </w:r>
          </w:p>
        </w:tc>
        <w:tc>
          <w:tcPr>
            <w:tcW w:w="317" w:type="pct"/>
            <w:tcBorders>
              <w:top w:val="nil"/>
              <w:left w:val="nil"/>
              <w:bottom w:val="single" w:sz="8" w:space="0" w:color="auto"/>
              <w:right w:val="single" w:sz="8" w:space="0" w:color="auto"/>
            </w:tcBorders>
            <w:shd w:val="clear" w:color="000000" w:fill="8497B0"/>
            <w:noWrap/>
            <w:vAlign w:val="center"/>
            <w:hideMark/>
          </w:tcPr>
          <w:p w:rsidR="00020170" w:rsidRPr="00AA70AB" w:rsidRDefault="00020170" w:rsidP="00020170">
            <w:pPr>
              <w:spacing w:after="0" w:line="240" w:lineRule="auto"/>
              <w:jc w:val="center"/>
              <w:rPr>
                <w:rFonts w:eastAsia="Times New Roman" w:cs="Times New Roman"/>
                <w:color w:val="8497B0"/>
              </w:rPr>
            </w:pPr>
            <w:r w:rsidRPr="00AA70AB">
              <w:rPr>
                <w:rFonts w:eastAsia="Times New Roman" w:cs="Times New Roman"/>
                <w:color w:val="8497B0"/>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AA70AB" w:rsidRDefault="00020170" w:rsidP="00020170">
            <w:pPr>
              <w:spacing w:after="0" w:line="240" w:lineRule="auto"/>
              <w:jc w:val="center"/>
              <w:rPr>
                <w:rFonts w:eastAsia="Times New Roman" w:cs="Times New Roman"/>
                <w:color w:val="8497B0"/>
              </w:rPr>
            </w:pPr>
            <w:r w:rsidRPr="00AA70AB">
              <w:rPr>
                <w:rFonts w:eastAsia="Times New Roman" w:cs="Times New Roman"/>
                <w:color w:val="8497B0"/>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AA70AB" w:rsidRDefault="00020170" w:rsidP="00020170">
            <w:pPr>
              <w:spacing w:after="0" w:line="240" w:lineRule="auto"/>
              <w:jc w:val="center"/>
              <w:rPr>
                <w:rFonts w:eastAsia="Times New Roman" w:cs="Times New Roman"/>
                <w:color w:val="8497B0"/>
              </w:rPr>
            </w:pPr>
            <w:r w:rsidRPr="00AA70AB">
              <w:rPr>
                <w:rFonts w:eastAsia="Times New Roman" w:cs="Times New Roman"/>
                <w:color w:val="8497B0"/>
              </w:rPr>
              <w:t> </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AA70AB" w:rsidRDefault="00020170" w:rsidP="00020170">
            <w:pPr>
              <w:spacing w:after="0" w:line="240" w:lineRule="auto"/>
              <w:jc w:val="center"/>
              <w:rPr>
                <w:rFonts w:eastAsia="Times New Roman" w:cs="Times New Roman"/>
                <w:color w:val="8497B0"/>
              </w:rPr>
            </w:pPr>
            <w:r w:rsidRPr="00AA70AB">
              <w:rPr>
                <w:rFonts w:eastAsia="Times New Roman" w:cs="Times New Roman"/>
                <w:color w:val="8497B0"/>
              </w:rPr>
              <w:t> </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AA70AB" w:rsidRDefault="00020170" w:rsidP="00020170">
            <w:pPr>
              <w:spacing w:after="0" w:line="240" w:lineRule="auto"/>
              <w:jc w:val="center"/>
              <w:rPr>
                <w:rFonts w:eastAsia="Times New Roman" w:cs="Times New Roman"/>
                <w:color w:val="8497B0"/>
              </w:rPr>
            </w:pPr>
            <w:r w:rsidRPr="00AA70AB">
              <w:rPr>
                <w:rFonts w:eastAsia="Times New Roman" w:cs="Times New Roman"/>
                <w:color w:val="8497B0"/>
              </w:rPr>
              <w:t> </w:t>
            </w:r>
          </w:p>
        </w:tc>
      </w:tr>
      <w:tr w:rsidR="00931AB2" w:rsidRPr="00621BF1" w:rsidTr="00020170">
        <w:trPr>
          <w:trHeight w:val="795"/>
        </w:trPr>
        <w:tc>
          <w:tcPr>
            <w:tcW w:w="728" w:type="pct"/>
            <w:vMerge/>
            <w:tcBorders>
              <w:top w:val="nil"/>
              <w:left w:val="single" w:sz="8" w:space="0" w:color="auto"/>
              <w:bottom w:val="single" w:sz="8" w:space="0" w:color="000000"/>
              <w:right w:val="single" w:sz="8" w:space="0" w:color="auto"/>
            </w:tcBorders>
            <w:vAlign w:val="center"/>
            <w:hideMark/>
          </w:tcPr>
          <w:p w:rsidR="00020170" w:rsidRPr="00AA70AB" w:rsidRDefault="00020170" w:rsidP="00020170">
            <w:pPr>
              <w:spacing w:after="0" w:line="240" w:lineRule="auto"/>
              <w:rPr>
                <w:rFonts w:eastAsia="Times New Roman" w:cs="Times New Roman"/>
                <w:color w:val="000000"/>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AA70AB" w:rsidRDefault="00020170" w:rsidP="00020170">
            <w:pPr>
              <w:spacing w:after="0" w:line="240" w:lineRule="auto"/>
              <w:rPr>
                <w:rFonts w:eastAsia="Times New Roman" w:cs="Times New Roman"/>
                <w:color w:val="000000"/>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Organiser des activités de vaccination intensifiées (AVI): SAV/SSME, </w:t>
            </w:r>
            <w:r w:rsidR="00E9476D" w:rsidRPr="00621BF1">
              <w:rPr>
                <w:rFonts w:eastAsia="Times New Roman" w:cs="Times New Roman"/>
                <w:color w:val="000000"/>
              </w:rPr>
              <w:t>accélération</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931AB2" w:rsidP="0002017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p>
        </w:tc>
        <w:tc>
          <w:tcPr>
            <w:tcW w:w="317"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1141"/>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Organiser des </w:t>
            </w:r>
            <w:r w:rsidR="00E9476D" w:rsidRPr="00621BF1">
              <w:rPr>
                <w:rFonts w:eastAsia="Times New Roman" w:cs="Times New Roman"/>
                <w:color w:val="000000"/>
              </w:rPr>
              <w:t>séances</w:t>
            </w:r>
            <w:r w:rsidRPr="00621BF1">
              <w:rPr>
                <w:rFonts w:eastAsia="Times New Roman" w:cs="Times New Roman"/>
                <w:color w:val="000000"/>
              </w:rPr>
              <w:t xml:space="preserve"> trimestrielles d'</w:t>
            </w:r>
            <w:r w:rsidR="00E9476D" w:rsidRPr="00621BF1">
              <w:rPr>
                <w:rFonts w:eastAsia="Times New Roman" w:cs="Times New Roman"/>
                <w:color w:val="000000"/>
              </w:rPr>
              <w:t>échange</w:t>
            </w:r>
            <w:r w:rsidRPr="00621BF1">
              <w:rPr>
                <w:rFonts w:eastAsia="Times New Roman" w:cs="Times New Roman"/>
                <w:color w:val="000000"/>
              </w:rPr>
              <w:t xml:space="preserve"> et de monitoring entre la </w:t>
            </w:r>
            <w:r w:rsidR="00E9476D" w:rsidRPr="00621BF1">
              <w:rPr>
                <w:rFonts w:eastAsia="Times New Roman" w:cs="Times New Roman"/>
                <w:color w:val="000000"/>
              </w:rPr>
              <w:t>communauté</w:t>
            </w:r>
            <w:r w:rsidRPr="00621BF1">
              <w:rPr>
                <w:rFonts w:eastAsia="Times New Roman" w:cs="Times New Roman"/>
                <w:color w:val="000000"/>
              </w:rPr>
              <w:t xml:space="preserve"> et les services au tour de la vaccination</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931AB2" w:rsidP="0002017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r w:rsidRPr="00621BF1" w:rsidDel="00931AB2">
              <w:rPr>
                <w:rFonts w:eastAsia="Times New Roman" w:cs="Times New Roman"/>
                <w:color w:val="000000"/>
                <w:lang w:val="en-US"/>
              </w:rPr>
              <w:t xml:space="preserve"> </w:t>
            </w:r>
          </w:p>
        </w:tc>
        <w:tc>
          <w:tcPr>
            <w:tcW w:w="317"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1159"/>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Organiser des supervisions formatives sur le terrain en vue de renforcer les </w:t>
            </w:r>
            <w:r w:rsidR="00E9476D" w:rsidRPr="00621BF1">
              <w:rPr>
                <w:rFonts w:eastAsia="Times New Roman" w:cs="Times New Roman"/>
                <w:color w:val="000000"/>
              </w:rPr>
              <w:t>capacités</w:t>
            </w:r>
            <w:r w:rsidRPr="00621BF1">
              <w:rPr>
                <w:rFonts w:eastAsia="Times New Roman" w:cs="Times New Roman"/>
                <w:color w:val="000000"/>
              </w:rPr>
              <w:t xml:space="preserve"> des prestataires pour des services de vaccination efficaces et de bonne </w:t>
            </w:r>
            <w:r w:rsidR="00E9476D" w:rsidRPr="00621BF1">
              <w:rPr>
                <w:rFonts w:eastAsia="Times New Roman" w:cs="Times New Roman"/>
                <w:color w:val="000000"/>
              </w:rPr>
              <w:t>qualité</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931AB2" w:rsidP="0002017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p>
        </w:tc>
        <w:tc>
          <w:tcPr>
            <w:tcW w:w="317"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79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rPr>
            </w:pPr>
            <w:r w:rsidRPr="00621BF1">
              <w:rPr>
                <w:rFonts w:eastAsia="Times New Roman" w:cs="Times New Roman"/>
                <w:color w:val="000000"/>
              </w:rPr>
              <w:t xml:space="preserve">Mise en </w:t>
            </w:r>
            <w:proofErr w:type="spellStart"/>
            <w:r w:rsidRPr="00621BF1">
              <w:rPr>
                <w:rFonts w:eastAsia="Times New Roman" w:cs="Times New Roman"/>
                <w:color w:val="000000"/>
              </w:rPr>
              <w:t>oeuvre</w:t>
            </w:r>
            <w:proofErr w:type="spellEnd"/>
            <w:r w:rsidRPr="00621BF1">
              <w:rPr>
                <w:rFonts w:eastAsia="Times New Roman" w:cs="Times New Roman"/>
                <w:color w:val="000000"/>
              </w:rPr>
              <w:t xml:space="preserve"> de l'approche de financement basé sur </w:t>
            </w:r>
            <w:r w:rsidRPr="00621BF1">
              <w:rPr>
                <w:rFonts w:eastAsia="Times New Roman" w:cs="Times New Roman"/>
                <w:color w:val="000000"/>
              </w:rPr>
              <w:lastRenderedPageBreak/>
              <w:t xml:space="preserve">les résultats </w:t>
            </w: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lastRenderedPageBreak/>
              <w:t xml:space="preserve">Former les ECD et les CCS sur l'approche de financement base sur les </w:t>
            </w:r>
            <w:r w:rsidR="00E9476D" w:rsidRPr="00621BF1">
              <w:rPr>
                <w:rFonts w:eastAsia="Times New Roman" w:cs="Times New Roman"/>
                <w:color w:val="000000"/>
              </w:rPr>
              <w:t>résultats</w:t>
            </w:r>
            <w:r w:rsidRPr="00621BF1">
              <w:rPr>
                <w:rFonts w:eastAsia="Times New Roman" w:cs="Times New Roman"/>
                <w:color w:val="000000"/>
              </w:rPr>
              <w:t xml:space="preserve"> (FBR)</w:t>
            </w:r>
          </w:p>
        </w:tc>
        <w:tc>
          <w:tcPr>
            <w:tcW w:w="501" w:type="pct"/>
            <w:tcBorders>
              <w:top w:val="nil"/>
              <w:left w:val="nil"/>
              <w:bottom w:val="single" w:sz="8" w:space="0" w:color="auto"/>
              <w:right w:val="single" w:sz="8" w:space="0" w:color="auto"/>
            </w:tcBorders>
            <w:shd w:val="clear" w:color="000000" w:fill="FFFFFF"/>
            <w:noWrap/>
            <w:vAlign w:val="center"/>
            <w:hideMark/>
          </w:tcPr>
          <w:p w:rsidR="00020170" w:rsidRPr="00621BF1" w:rsidRDefault="00931AB2" w:rsidP="00931AB2">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Coordinateur</w:t>
            </w:r>
            <w:proofErr w:type="spellEnd"/>
            <w:r>
              <w:rPr>
                <w:rFonts w:eastAsia="Times New Roman" w:cs="Times New Roman"/>
                <w:color w:val="000000"/>
                <w:lang w:val="en-US"/>
              </w:rPr>
              <w:t xml:space="preserve"> national du PEV </w:t>
            </w:r>
          </w:p>
        </w:tc>
        <w:tc>
          <w:tcPr>
            <w:tcW w:w="317"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79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Assurer la mise en </w:t>
            </w:r>
            <w:proofErr w:type="spellStart"/>
            <w:r w:rsidRPr="00621BF1">
              <w:rPr>
                <w:rFonts w:eastAsia="Times New Roman" w:cs="Times New Roman"/>
                <w:color w:val="000000"/>
              </w:rPr>
              <w:t>oeuvre</w:t>
            </w:r>
            <w:proofErr w:type="spellEnd"/>
            <w:r w:rsidRPr="00621BF1">
              <w:rPr>
                <w:rFonts w:eastAsia="Times New Roman" w:cs="Times New Roman"/>
                <w:color w:val="000000"/>
              </w:rPr>
              <w:t xml:space="preserve"> du plan d'action de l'approche FBR</w:t>
            </w:r>
          </w:p>
        </w:tc>
        <w:tc>
          <w:tcPr>
            <w:tcW w:w="501" w:type="pct"/>
            <w:tcBorders>
              <w:top w:val="nil"/>
              <w:left w:val="nil"/>
              <w:bottom w:val="single" w:sz="8" w:space="0" w:color="auto"/>
              <w:right w:val="single" w:sz="8" w:space="0" w:color="auto"/>
            </w:tcBorders>
            <w:shd w:val="clear" w:color="000000" w:fill="FFFFFF"/>
            <w:noWrap/>
            <w:vAlign w:val="center"/>
            <w:hideMark/>
          </w:tcPr>
          <w:p w:rsidR="00020170" w:rsidRPr="00621BF1" w:rsidRDefault="00931AB2" w:rsidP="0002017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p>
        </w:tc>
        <w:tc>
          <w:tcPr>
            <w:tcW w:w="317"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889"/>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Assurer les missions trimestrielles de monitorage et de supervision de la mise en œuvre de l'approche FBR</w:t>
            </w:r>
          </w:p>
        </w:tc>
        <w:tc>
          <w:tcPr>
            <w:tcW w:w="501" w:type="pct"/>
            <w:tcBorders>
              <w:top w:val="nil"/>
              <w:left w:val="nil"/>
              <w:bottom w:val="single" w:sz="8" w:space="0" w:color="auto"/>
              <w:right w:val="single" w:sz="8" w:space="0" w:color="auto"/>
            </w:tcBorders>
            <w:shd w:val="clear" w:color="000000" w:fill="FFFFFF"/>
            <w:noWrap/>
            <w:vAlign w:val="center"/>
            <w:hideMark/>
          </w:tcPr>
          <w:p w:rsidR="00020170" w:rsidRPr="00621BF1" w:rsidRDefault="00931AB2" w:rsidP="0002017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p>
        </w:tc>
        <w:tc>
          <w:tcPr>
            <w:tcW w:w="317"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619"/>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Assurer des évaluations annuelles de la mise en œuvre de l'approche FBR</w:t>
            </w:r>
          </w:p>
        </w:tc>
        <w:tc>
          <w:tcPr>
            <w:tcW w:w="501" w:type="pct"/>
            <w:tcBorders>
              <w:top w:val="nil"/>
              <w:left w:val="nil"/>
              <w:bottom w:val="single" w:sz="8" w:space="0" w:color="auto"/>
              <w:right w:val="single" w:sz="8" w:space="0" w:color="auto"/>
            </w:tcBorders>
            <w:shd w:val="clear" w:color="000000" w:fill="FFFFFF"/>
            <w:noWrap/>
            <w:vAlign w:val="center"/>
            <w:hideMark/>
          </w:tcPr>
          <w:p w:rsidR="00020170" w:rsidRPr="00621BF1" w:rsidRDefault="00931AB2" w:rsidP="0002017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p>
        </w:tc>
        <w:tc>
          <w:tcPr>
            <w:tcW w:w="317"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700"/>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rPr>
            </w:pPr>
            <w:r w:rsidRPr="00621BF1">
              <w:rPr>
                <w:rFonts w:eastAsia="Times New Roman" w:cs="Times New Roman"/>
                <w:color w:val="000000"/>
              </w:rPr>
              <w:t>Soutien à l’introduction de nouveaux vaccins dans le PEV de routine</w:t>
            </w: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Elaborer et soumettre les plans validés d’introduction des nouveaux vaccins</w:t>
            </w:r>
          </w:p>
        </w:tc>
        <w:tc>
          <w:tcPr>
            <w:tcW w:w="501" w:type="pct"/>
            <w:tcBorders>
              <w:top w:val="nil"/>
              <w:left w:val="nil"/>
              <w:bottom w:val="single" w:sz="8" w:space="0" w:color="auto"/>
              <w:right w:val="single" w:sz="8" w:space="0" w:color="auto"/>
            </w:tcBorders>
            <w:shd w:val="clear" w:color="000000" w:fill="FFFFFF"/>
            <w:noWrap/>
            <w:vAlign w:val="center"/>
            <w:hideMark/>
          </w:tcPr>
          <w:p w:rsidR="00020170" w:rsidRPr="00621BF1" w:rsidRDefault="00931AB2" w:rsidP="00931AB2">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Coordinateur</w:t>
            </w:r>
            <w:proofErr w:type="spellEnd"/>
            <w:r>
              <w:rPr>
                <w:rFonts w:eastAsia="Times New Roman" w:cs="Times New Roman"/>
                <w:color w:val="000000"/>
                <w:lang w:val="en-US"/>
              </w:rPr>
              <w:t xml:space="preserve"> du PEV/</w:t>
            </w:r>
            <w:r w:rsidR="00020170" w:rsidRPr="00621BF1">
              <w:rPr>
                <w:rFonts w:eastAsia="Times New Roman" w:cs="Times New Roman"/>
                <w:color w:val="000000"/>
                <w:lang w:val="en-US"/>
              </w:rPr>
              <w:t>CCIA</w:t>
            </w:r>
          </w:p>
        </w:tc>
        <w:tc>
          <w:tcPr>
            <w:tcW w:w="317"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020170">
        <w:trPr>
          <w:trHeight w:val="520"/>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l'introduction des nouveaux vaccins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7"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520"/>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Evaluer l'introduction des nouveaux vaccins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7"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610"/>
        </w:trPr>
        <w:tc>
          <w:tcPr>
            <w:tcW w:w="72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rPr>
            </w:pPr>
            <w:r w:rsidRPr="00621BF1">
              <w:rPr>
                <w:rFonts w:eastAsia="Times New Roman" w:cs="Times New Roman"/>
                <w:color w:val="000000"/>
              </w:rPr>
              <w:t xml:space="preserve">D’ici fin 2020, les AVS (Polio, rougeole, Méningite, Fièvre jaune, Tétanos) organisées Atteignent au moins 95% de leurs cibles  </w:t>
            </w:r>
          </w:p>
        </w:tc>
        <w:tc>
          <w:tcPr>
            <w:tcW w:w="8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rPr>
            </w:pPr>
            <w:r w:rsidRPr="00621BF1">
              <w:rPr>
                <w:rFonts w:eastAsia="Times New Roman" w:cs="Times New Roman"/>
                <w:color w:val="000000"/>
              </w:rPr>
              <w:t>Amélioration de la préparation et la mise en œuvre des AVS</w:t>
            </w: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Elaborer et mettre en œuvre le micro plan consenti des différentes AVS</w:t>
            </w:r>
          </w:p>
        </w:tc>
        <w:tc>
          <w:tcPr>
            <w:tcW w:w="501" w:type="pct"/>
            <w:tcBorders>
              <w:top w:val="nil"/>
              <w:left w:val="nil"/>
              <w:bottom w:val="single" w:sz="8" w:space="0" w:color="auto"/>
              <w:right w:val="single" w:sz="8" w:space="0" w:color="auto"/>
            </w:tcBorders>
            <w:shd w:val="clear" w:color="000000" w:fill="FFFFFF"/>
            <w:noWrap/>
            <w:vAlign w:val="center"/>
            <w:hideMark/>
          </w:tcPr>
          <w:p w:rsidR="00020170" w:rsidRPr="00621BF1" w:rsidRDefault="00931AB2" w:rsidP="0002017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noWrap/>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40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Appliquer les directives pour chaque AVS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628"/>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Elaborer le plan de contingence aux épidémies </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529"/>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Conduire une riposte en cas d’épidémie</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1132"/>
        </w:trPr>
        <w:tc>
          <w:tcPr>
            <w:tcW w:w="72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rPr>
            </w:pPr>
            <w:r w:rsidRPr="00621BF1">
              <w:rPr>
                <w:rFonts w:eastAsia="Times New Roman" w:cs="Times New Roman"/>
                <w:color w:val="000000"/>
              </w:rPr>
              <w:t xml:space="preserve">D’ici à fin 2020, au moins 90% des districts sanitaires  fournissent des </w:t>
            </w:r>
            <w:r w:rsidRPr="00621BF1">
              <w:rPr>
                <w:rFonts w:eastAsia="Times New Roman" w:cs="Times New Roman"/>
                <w:color w:val="000000"/>
              </w:rPr>
              <w:lastRenderedPageBreak/>
              <w:t>données de qualité en temps réel</w:t>
            </w:r>
          </w:p>
        </w:tc>
        <w:tc>
          <w:tcPr>
            <w:tcW w:w="8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rPr>
            </w:pPr>
            <w:r w:rsidRPr="00621BF1">
              <w:rPr>
                <w:rFonts w:eastAsia="Times New Roman" w:cs="Times New Roman"/>
                <w:color w:val="000000"/>
              </w:rPr>
              <w:lastRenderedPageBreak/>
              <w:t xml:space="preserve">Renforcer le mécanisme de collecte, de traitement, </w:t>
            </w:r>
            <w:r w:rsidRPr="00621BF1">
              <w:rPr>
                <w:rFonts w:eastAsia="Times New Roman" w:cs="Times New Roman"/>
                <w:color w:val="000000"/>
              </w:rPr>
              <w:lastRenderedPageBreak/>
              <w:t>d’analyse, de remontée, de contrôle de qualité, de diffusion et de stockage des données de santé  à tous les niveaux de la pyramide sanitaire</w:t>
            </w: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lastRenderedPageBreak/>
              <w:t>Organiser une Auto-Evaluation du mécanisme de monitoring et Evaluation du programme Elargi de Vaccination</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020170">
        <w:trPr>
          <w:trHeight w:val="1060"/>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des réunions trimestrielles techniques de l'équipe nationale de référence en M&amp;E du programme Elargi de Vaccination</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1078"/>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un atelier national d'élaboration du plan de Suivi-Evaluation du programme Elargi de vaccination, y compris son plan d'action budgétisé</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826"/>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un atelier d'élaboration du manuel de suivi et Evaluation du programme élargi de vaccination</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601"/>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Réviser les outils de gestion des données du PEV</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799"/>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Former les agents PEV des centres de santé sur l'utilisation des outils révisés de gestion des données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931AB2" w:rsidP="00020170">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Medecin</w:t>
            </w:r>
            <w:proofErr w:type="spellEnd"/>
            <w:r>
              <w:rPr>
                <w:rFonts w:eastAsia="Times New Roman" w:cs="Times New Roman"/>
                <w:color w:val="000000"/>
                <w:lang w:val="en-US"/>
              </w:rPr>
              <w:t xml:space="preserve"> Chef de district</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Produire les outils de mesure de la qualité des services et des outils à l'attention des ECD, ECR et l'</w:t>
            </w:r>
            <w:r w:rsidR="00931AB2" w:rsidRPr="00621BF1">
              <w:rPr>
                <w:rFonts w:eastAsia="Times New Roman" w:cs="Times New Roman"/>
                <w:color w:val="000000"/>
              </w:rPr>
              <w:t>équipe</w:t>
            </w:r>
            <w:r w:rsidRPr="00621BF1">
              <w:rPr>
                <w:rFonts w:eastAsia="Times New Roman" w:cs="Times New Roman"/>
                <w:color w:val="000000"/>
              </w:rPr>
              <w:t xml:space="preserve"> nationale du PEV</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952"/>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Produire et Diffuser les directives de supervision des activités du PEV de Routine à tous les niveaux</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871"/>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des missions trimestrielles de supervision des activités du PEV du niveau central vers les régions et/districts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889"/>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Appuyer l'organisation des missions mensuelles de supervision des activités du PEV du niveau régional vers les districts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ECR</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1240"/>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Appuyer l'organisation des missions mensuelles de supervision des activités du PEV du niveau district vers les centres de sante</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ECD</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79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Produire et diffuser les outils d'audits et/ou de validation des données sur site</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16"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020170">
        <w:trPr>
          <w:trHeight w:val="781"/>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Former les cadres du PEV central sur l'utilisation des outils d'audit et/ou de validation des données sur site</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16"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E26414">
        <w:trPr>
          <w:trHeight w:val="1303"/>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des missions d'audit  à tous les niveaux pour  le rapprochement des données issues des systèmes de suivi des stocks  (deux missions par an)</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79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des réunions mensuelles d'harmonisation des données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Mettre en place un site web pour le PEV qui facilitera l'accès aux données du PEV en ligne</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16"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020170">
        <w:trPr>
          <w:trHeight w:val="79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Recruter un administrateur de site Web du PEV</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E26414">
        <w:trPr>
          <w:trHeight w:val="952"/>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Produire et diffuser le rapport national annuel de progrès des interventions du programme Elargie de vaccination</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E26414">
        <w:trPr>
          <w:trHeight w:val="997"/>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Produire et diffuser les bulletins trimestriels nationaux et région sur les interventions du PEV</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E26414">
        <w:trPr>
          <w:trHeight w:val="943"/>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rPr>
            </w:pPr>
            <w:r w:rsidRPr="00621BF1">
              <w:rPr>
                <w:rFonts w:eastAsia="Times New Roman" w:cs="Times New Roman"/>
                <w:color w:val="000000"/>
              </w:rPr>
              <w:t xml:space="preserve">Renforcer les capacités techniques des ressources humaines impliquées dans la gestion des données de santé (formation </w:t>
            </w:r>
            <w:proofErr w:type="spellStart"/>
            <w:r w:rsidRPr="00621BF1">
              <w:rPr>
                <w:rFonts w:eastAsia="Times New Roman" w:cs="Times New Roman"/>
                <w:color w:val="000000"/>
              </w:rPr>
              <w:t>diplômante</w:t>
            </w:r>
            <w:proofErr w:type="spellEnd"/>
            <w:r w:rsidRPr="00621BF1">
              <w:rPr>
                <w:rFonts w:eastAsia="Times New Roman" w:cs="Times New Roman"/>
                <w:color w:val="000000"/>
              </w:rPr>
              <w:t>, supervision formative, monitorage, recrutement de personnel additionnel, équipements, outils de gestion …)</w:t>
            </w: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Former 55 gestionnaires de données du niveau central, des régions et districts  sur l’amélioration de la qualité  </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E26414">
        <w:trPr>
          <w:trHeight w:val="1240"/>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Former 92 gestionnaires de données et MCM des régions et districts sanitaires sur l'utilisation du DVD-MT et les autres outils de gestion révisées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Équiper 55 unités de gestion des données, y compris le niveau central en matériel informatique</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Acheter des espaces d'archivage des documents dans </w:t>
            </w:r>
            <w:proofErr w:type="spellStart"/>
            <w:r w:rsidRPr="00621BF1">
              <w:rPr>
                <w:rFonts w:eastAsia="Times New Roman" w:cs="Times New Roman"/>
                <w:color w:val="000000"/>
              </w:rPr>
              <w:t>OneDrive</w:t>
            </w:r>
            <w:proofErr w:type="spellEnd"/>
            <w:r w:rsidRPr="00621BF1">
              <w:rPr>
                <w:rFonts w:eastAsia="Times New Roman" w:cs="Times New Roman"/>
                <w:color w:val="000000"/>
              </w:rPr>
              <w:t xml:space="preserve"> à l'attention des ECD/ECR et Equipe Nationale du PEV</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Former les ECD/ECR et Equipe Nationale du PEV sur l'archivage des données et à l'utilisation du One Drive</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316"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E26414">
        <w:trPr>
          <w:trHeight w:val="1276"/>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Assurer la formation </w:t>
            </w:r>
            <w:proofErr w:type="spellStart"/>
            <w:r w:rsidRPr="00621BF1">
              <w:rPr>
                <w:rFonts w:eastAsia="Times New Roman" w:cs="Times New Roman"/>
                <w:color w:val="000000"/>
              </w:rPr>
              <w:t>diplômante</w:t>
            </w:r>
            <w:proofErr w:type="spellEnd"/>
            <w:r w:rsidRPr="00621BF1">
              <w:rPr>
                <w:rFonts w:eastAsia="Times New Roman" w:cs="Times New Roman"/>
                <w:color w:val="000000"/>
              </w:rPr>
              <w:t xml:space="preserve"> dans la </w:t>
            </w:r>
            <w:r w:rsidR="00E9476D" w:rsidRPr="00621BF1">
              <w:rPr>
                <w:rFonts w:eastAsia="Times New Roman" w:cs="Times New Roman"/>
                <w:color w:val="000000"/>
              </w:rPr>
              <w:t>sous-région</w:t>
            </w:r>
            <w:r w:rsidRPr="00621BF1">
              <w:rPr>
                <w:rFonts w:eastAsia="Times New Roman" w:cs="Times New Roman"/>
                <w:color w:val="000000"/>
              </w:rPr>
              <w:t xml:space="preserve"> de de quatre cadres du PEV central sur le Suivi-Evaluation des programmes de vaccination, y compris la gestion des données </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Recruter et assurer la prise en charge de 04 assistants spécialistes de gestion des données dans les régions sanitaires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Recruter et assurer la prise en charge de 38 assistants spécialiste de gestion des données dans les districts sanitaires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E26414">
        <w:trPr>
          <w:trHeight w:val="988"/>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Recruter et assurer la prise en charge de 410 points focaux (étudiants en fin de formation ou autres) charges de la gestion des données au niveau des centres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E26414">
        <w:trPr>
          <w:trHeight w:val="952"/>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20170" w:rsidRPr="00621BF1" w:rsidRDefault="00020170" w:rsidP="00020170">
            <w:pPr>
              <w:spacing w:after="0" w:line="240" w:lineRule="auto"/>
              <w:jc w:val="center"/>
              <w:rPr>
                <w:rFonts w:eastAsia="Times New Roman" w:cs="Times New Roman"/>
                <w:color w:val="000000"/>
              </w:rPr>
            </w:pPr>
            <w:r w:rsidRPr="00621BF1">
              <w:rPr>
                <w:rFonts w:eastAsia="Times New Roman" w:cs="Times New Roman"/>
                <w:color w:val="000000"/>
              </w:rPr>
              <w:t xml:space="preserve">Réaliser des études et enquêtes nécessaires pour </w:t>
            </w:r>
            <w:r w:rsidRPr="00621BF1">
              <w:rPr>
                <w:rFonts w:eastAsia="Times New Roman" w:cs="Times New Roman"/>
                <w:color w:val="000000"/>
              </w:rPr>
              <w:lastRenderedPageBreak/>
              <w:t xml:space="preserve">l’évaluation des effets des interventions de santé et la compréhension de certains goulots (SARA, recherche opérationnelles, enquête CAP, DQS, revue externe du PEV, LQAS…). </w:t>
            </w: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lastRenderedPageBreak/>
              <w:t>Former les ECD/ECR aux enquêtes LQAS et DQS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000000" w:fill="FFFFFF"/>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des enquêtes LQAS pour évaluation des couvertures du PEV de routine (Deux fois par an)</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79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des enquêtes LQAS pour les AVS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79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Organiser des évaluations externes indépendantes des AVS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Réaliser des évaluations post introduction des nouveaux vaccins dans le PEV de routine</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118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Organiser des études socio-anthropologiques et CAP au tour des problèmes </w:t>
            </w:r>
            <w:proofErr w:type="spellStart"/>
            <w:r w:rsidRPr="00621BF1">
              <w:rPr>
                <w:rFonts w:eastAsia="Times New Roman" w:cs="Times New Roman"/>
                <w:color w:val="000000"/>
              </w:rPr>
              <w:t>constates</w:t>
            </w:r>
            <w:proofErr w:type="spellEnd"/>
            <w:r w:rsidRPr="00621BF1">
              <w:rPr>
                <w:rFonts w:eastAsia="Times New Roman" w:cs="Times New Roman"/>
                <w:color w:val="000000"/>
              </w:rPr>
              <w:t xml:space="preserve"> lors des AVS</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7" w:type="pct"/>
            <w:tcBorders>
              <w:top w:val="nil"/>
              <w:left w:val="nil"/>
              <w:bottom w:val="single" w:sz="8" w:space="0" w:color="auto"/>
              <w:right w:val="single" w:sz="8" w:space="0" w:color="auto"/>
            </w:tcBorders>
            <w:shd w:val="clear" w:color="auto" w:fill="auto"/>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6"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0" w:type="pct"/>
            <w:tcBorders>
              <w:top w:val="nil"/>
              <w:left w:val="nil"/>
              <w:bottom w:val="single" w:sz="8" w:space="0" w:color="auto"/>
              <w:right w:val="single" w:sz="8" w:space="0" w:color="auto"/>
            </w:tcBorders>
            <w:shd w:val="clear" w:color="auto" w:fill="auto"/>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05"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r>
      <w:tr w:rsidR="00931AB2" w:rsidRPr="00621BF1" w:rsidTr="00020170">
        <w:trPr>
          <w:trHeight w:val="795"/>
        </w:trPr>
        <w:tc>
          <w:tcPr>
            <w:tcW w:w="728"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820" w:type="pct"/>
            <w:vMerge/>
            <w:tcBorders>
              <w:top w:val="nil"/>
              <w:left w:val="single" w:sz="8" w:space="0" w:color="auto"/>
              <w:bottom w:val="single" w:sz="8" w:space="0" w:color="000000"/>
              <w:right w:val="single" w:sz="8" w:space="0" w:color="auto"/>
            </w:tcBorders>
            <w:vAlign w:val="center"/>
            <w:hideMark/>
          </w:tcPr>
          <w:p w:rsidR="00020170" w:rsidRPr="00621BF1" w:rsidRDefault="00020170" w:rsidP="00020170">
            <w:pPr>
              <w:spacing w:after="0" w:line="240" w:lineRule="auto"/>
              <w:rPr>
                <w:rFonts w:eastAsia="Times New Roman" w:cs="Times New Roman"/>
                <w:color w:val="000000"/>
                <w:lang w:val="en-US"/>
              </w:rPr>
            </w:pPr>
          </w:p>
        </w:tc>
        <w:tc>
          <w:tcPr>
            <w:tcW w:w="1386" w:type="pct"/>
            <w:tcBorders>
              <w:top w:val="nil"/>
              <w:left w:val="nil"/>
              <w:bottom w:val="single" w:sz="8" w:space="0" w:color="auto"/>
              <w:right w:val="single" w:sz="8" w:space="0" w:color="auto"/>
            </w:tcBorders>
            <w:shd w:val="clear" w:color="000000" w:fill="FFFFFF"/>
            <w:vAlign w:val="center"/>
            <w:hideMark/>
          </w:tcPr>
          <w:p w:rsidR="00020170" w:rsidRPr="00621BF1" w:rsidRDefault="00020170" w:rsidP="00020170">
            <w:pPr>
              <w:spacing w:after="0" w:line="240" w:lineRule="auto"/>
              <w:rPr>
                <w:rFonts w:eastAsia="Times New Roman" w:cs="Times New Roman"/>
                <w:color w:val="000000"/>
              </w:rPr>
            </w:pPr>
            <w:r w:rsidRPr="00621BF1">
              <w:rPr>
                <w:rFonts w:eastAsia="Times New Roman" w:cs="Times New Roman"/>
                <w:color w:val="000000"/>
              </w:rPr>
              <w:t xml:space="preserve">Réaliser deux recherches opérationnelles/action </w:t>
            </w:r>
          </w:p>
        </w:tc>
        <w:tc>
          <w:tcPr>
            <w:tcW w:w="501" w:type="pct"/>
            <w:tcBorders>
              <w:top w:val="nil"/>
              <w:left w:val="nil"/>
              <w:bottom w:val="single" w:sz="8" w:space="0" w:color="auto"/>
              <w:right w:val="single" w:sz="8" w:space="0" w:color="auto"/>
            </w:tcBorders>
            <w:shd w:val="clear" w:color="auto" w:fill="auto"/>
            <w:vAlign w:val="center"/>
            <w:hideMark/>
          </w:tcPr>
          <w:p w:rsidR="00020170" w:rsidRPr="00621BF1" w:rsidRDefault="00020170" w:rsidP="00020170">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17" w:type="pct"/>
            <w:tcBorders>
              <w:top w:val="nil"/>
              <w:left w:val="nil"/>
              <w:bottom w:val="single" w:sz="8" w:space="0" w:color="auto"/>
              <w:right w:val="single" w:sz="8" w:space="0" w:color="auto"/>
            </w:tcBorders>
            <w:shd w:val="clear" w:color="auto" w:fill="auto"/>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7"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16" w:type="pct"/>
            <w:tcBorders>
              <w:top w:val="nil"/>
              <w:left w:val="nil"/>
              <w:bottom w:val="single" w:sz="8" w:space="0" w:color="auto"/>
              <w:right w:val="single" w:sz="8" w:space="0" w:color="auto"/>
            </w:tcBorders>
            <w:shd w:val="clear" w:color="auto" w:fill="auto"/>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310" w:type="pct"/>
            <w:tcBorders>
              <w:top w:val="nil"/>
              <w:left w:val="nil"/>
              <w:bottom w:val="single" w:sz="8" w:space="0" w:color="auto"/>
              <w:right w:val="single" w:sz="8" w:space="0" w:color="auto"/>
            </w:tcBorders>
            <w:shd w:val="clear" w:color="000000" w:fill="8497B0"/>
            <w:vAlign w:val="center"/>
            <w:hideMark/>
          </w:tcPr>
          <w:p w:rsidR="00020170" w:rsidRPr="00621BF1" w:rsidRDefault="00020170" w:rsidP="00020170">
            <w:pPr>
              <w:spacing w:after="0" w:line="240" w:lineRule="auto"/>
              <w:jc w:val="center"/>
              <w:rPr>
                <w:rFonts w:eastAsia="Times New Roman" w:cs="Times New Roman"/>
                <w:color w:val="8497B0"/>
                <w:lang w:val="en-US"/>
              </w:rPr>
            </w:pPr>
            <w:r w:rsidRPr="00621BF1">
              <w:rPr>
                <w:rFonts w:eastAsia="Times New Roman" w:cs="Times New Roman"/>
                <w:color w:val="8497B0"/>
                <w:lang w:val="en-US"/>
              </w:rPr>
              <w:t> </w:t>
            </w:r>
          </w:p>
        </w:tc>
        <w:tc>
          <w:tcPr>
            <w:tcW w:w="305" w:type="pct"/>
            <w:tcBorders>
              <w:top w:val="nil"/>
              <w:left w:val="nil"/>
              <w:bottom w:val="single" w:sz="8" w:space="0" w:color="auto"/>
              <w:right w:val="single" w:sz="8" w:space="0" w:color="auto"/>
            </w:tcBorders>
            <w:shd w:val="clear" w:color="auto" w:fill="auto"/>
            <w:noWrap/>
            <w:vAlign w:val="center"/>
            <w:hideMark/>
          </w:tcPr>
          <w:p w:rsidR="00020170" w:rsidRPr="00621BF1" w:rsidRDefault="00020170" w:rsidP="00020170">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bl>
    <w:p w:rsidR="00431B9D" w:rsidRPr="00621BF1" w:rsidRDefault="00431B9D" w:rsidP="00431B9D">
      <w:pPr>
        <w:autoSpaceDE w:val="0"/>
        <w:autoSpaceDN w:val="0"/>
        <w:adjustRightInd w:val="0"/>
        <w:spacing w:after="120"/>
        <w:jc w:val="both"/>
        <w:rPr>
          <w:rFonts w:cs="Arial"/>
        </w:rPr>
      </w:pPr>
    </w:p>
    <w:p w:rsidR="00431B9D" w:rsidRPr="00621BF1" w:rsidRDefault="00431B9D" w:rsidP="00431B9D">
      <w:pPr>
        <w:autoSpaceDE w:val="0"/>
        <w:autoSpaceDN w:val="0"/>
        <w:adjustRightInd w:val="0"/>
        <w:spacing w:after="120"/>
        <w:jc w:val="both"/>
        <w:rPr>
          <w:rFonts w:cs="Arial"/>
        </w:rPr>
      </w:pPr>
    </w:p>
    <w:p w:rsidR="00983C0F" w:rsidRPr="00621BF1" w:rsidRDefault="00983C0F" w:rsidP="00431B9D">
      <w:pPr>
        <w:autoSpaceDE w:val="0"/>
        <w:autoSpaceDN w:val="0"/>
        <w:adjustRightInd w:val="0"/>
        <w:spacing w:after="120"/>
        <w:jc w:val="both"/>
        <w:rPr>
          <w:rFonts w:cs="Arial"/>
        </w:rPr>
      </w:pPr>
    </w:p>
    <w:p w:rsidR="00983C0F" w:rsidRPr="00621BF1" w:rsidRDefault="00983C0F" w:rsidP="00431B9D">
      <w:pPr>
        <w:autoSpaceDE w:val="0"/>
        <w:autoSpaceDN w:val="0"/>
        <w:adjustRightInd w:val="0"/>
        <w:spacing w:after="120"/>
        <w:jc w:val="both"/>
        <w:rPr>
          <w:rFonts w:cs="Arial"/>
        </w:rPr>
      </w:pPr>
    </w:p>
    <w:tbl>
      <w:tblPr>
        <w:tblW w:w="14580" w:type="dxa"/>
        <w:tblInd w:w="-10" w:type="dxa"/>
        <w:tblLayout w:type="fixed"/>
        <w:tblLook w:val="04A0" w:firstRow="1" w:lastRow="0" w:firstColumn="1" w:lastColumn="0" w:noHBand="0" w:noVBand="1"/>
      </w:tblPr>
      <w:tblGrid>
        <w:gridCol w:w="1901"/>
        <w:gridCol w:w="2599"/>
        <w:gridCol w:w="4230"/>
        <w:gridCol w:w="1620"/>
        <w:gridCol w:w="900"/>
        <w:gridCol w:w="900"/>
        <w:gridCol w:w="900"/>
        <w:gridCol w:w="810"/>
        <w:gridCol w:w="720"/>
      </w:tblGrid>
      <w:tr w:rsidR="00983C0F" w:rsidRPr="00621BF1" w:rsidTr="00983C0F">
        <w:trPr>
          <w:trHeight w:val="330"/>
          <w:tblHeader/>
        </w:trPr>
        <w:tc>
          <w:tcPr>
            <w:tcW w:w="14580" w:type="dxa"/>
            <w:gridSpan w:val="9"/>
            <w:vMerge w:val="restart"/>
            <w:tcBorders>
              <w:top w:val="single" w:sz="8" w:space="0" w:color="auto"/>
              <w:left w:val="single" w:sz="8" w:space="0" w:color="auto"/>
              <w:bottom w:val="single" w:sz="8" w:space="0" w:color="auto"/>
              <w:right w:val="single" w:sz="8" w:space="0" w:color="auto"/>
            </w:tcBorders>
            <w:shd w:val="clear" w:color="000000" w:fill="C45911"/>
            <w:noWrap/>
            <w:vAlign w:val="center"/>
            <w:hideMark/>
          </w:tcPr>
          <w:p w:rsidR="00983C0F" w:rsidRPr="00621BF1" w:rsidRDefault="00983C0F" w:rsidP="00983C0F">
            <w:pPr>
              <w:spacing w:after="0" w:line="240" w:lineRule="auto"/>
              <w:rPr>
                <w:rFonts w:eastAsia="Times New Roman" w:cs="Times New Roman"/>
                <w:b/>
                <w:bCs/>
                <w:color w:val="FFFFFF"/>
              </w:rPr>
            </w:pPr>
            <w:r w:rsidRPr="00621BF1">
              <w:rPr>
                <w:rFonts w:eastAsia="Times New Roman" w:cs="Times New Roman"/>
                <w:b/>
                <w:bCs/>
                <w:color w:val="FFFFFF"/>
              </w:rPr>
              <w:lastRenderedPageBreak/>
              <w:t>B. VACCINS, CHAINE DU FROID ET LOGISTIQUE  </w:t>
            </w:r>
          </w:p>
        </w:tc>
      </w:tr>
      <w:tr w:rsidR="00983C0F" w:rsidRPr="00621BF1" w:rsidTr="00983C0F">
        <w:trPr>
          <w:trHeight w:val="435"/>
          <w:tblHeader/>
        </w:trPr>
        <w:tc>
          <w:tcPr>
            <w:tcW w:w="14580" w:type="dxa"/>
            <w:gridSpan w:val="9"/>
            <w:vMerge/>
            <w:tcBorders>
              <w:top w:val="single" w:sz="8" w:space="0" w:color="auto"/>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b/>
                <w:bCs/>
                <w:color w:val="FFFFFF"/>
              </w:rPr>
            </w:pPr>
          </w:p>
        </w:tc>
      </w:tr>
      <w:tr w:rsidR="00983C0F" w:rsidRPr="00621BF1" w:rsidTr="00983C0F">
        <w:trPr>
          <w:trHeight w:val="360"/>
          <w:tblHeader/>
        </w:trPr>
        <w:tc>
          <w:tcPr>
            <w:tcW w:w="1901" w:type="dxa"/>
            <w:vMerge w:val="restart"/>
            <w:tcBorders>
              <w:top w:val="nil"/>
              <w:left w:val="single" w:sz="8" w:space="0" w:color="auto"/>
              <w:bottom w:val="single" w:sz="8" w:space="0" w:color="auto"/>
              <w:right w:val="single" w:sz="8" w:space="0" w:color="auto"/>
            </w:tcBorders>
            <w:shd w:val="clear" w:color="000000" w:fill="757171"/>
            <w:vAlign w:val="center"/>
            <w:hideMark/>
          </w:tcPr>
          <w:p w:rsidR="00983C0F" w:rsidRPr="00621BF1" w:rsidRDefault="00983C0F" w:rsidP="00983C0F">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Objectifs</w:t>
            </w:r>
            <w:proofErr w:type="spellEnd"/>
          </w:p>
        </w:tc>
        <w:tc>
          <w:tcPr>
            <w:tcW w:w="2599" w:type="dxa"/>
            <w:vMerge w:val="restart"/>
            <w:tcBorders>
              <w:top w:val="nil"/>
              <w:left w:val="single" w:sz="8" w:space="0" w:color="auto"/>
              <w:bottom w:val="single" w:sz="8" w:space="0" w:color="auto"/>
              <w:right w:val="single" w:sz="8" w:space="0" w:color="auto"/>
            </w:tcBorders>
            <w:shd w:val="clear" w:color="000000" w:fill="757171"/>
            <w:vAlign w:val="center"/>
            <w:hideMark/>
          </w:tcPr>
          <w:p w:rsidR="00983C0F" w:rsidRPr="00621BF1" w:rsidRDefault="00983C0F" w:rsidP="00983C0F">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Stratégies</w:t>
            </w:r>
            <w:proofErr w:type="spellEnd"/>
          </w:p>
        </w:tc>
        <w:tc>
          <w:tcPr>
            <w:tcW w:w="4230" w:type="dxa"/>
            <w:vMerge w:val="restart"/>
            <w:tcBorders>
              <w:top w:val="nil"/>
              <w:left w:val="single" w:sz="8" w:space="0" w:color="auto"/>
              <w:bottom w:val="single" w:sz="8" w:space="0" w:color="auto"/>
              <w:right w:val="single" w:sz="8" w:space="0" w:color="auto"/>
            </w:tcBorders>
            <w:shd w:val="clear" w:color="000000" w:fill="757171"/>
            <w:vAlign w:val="center"/>
            <w:hideMark/>
          </w:tcPr>
          <w:p w:rsidR="00983C0F" w:rsidRPr="00621BF1" w:rsidRDefault="00983C0F" w:rsidP="00983C0F">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Activités</w:t>
            </w:r>
            <w:proofErr w:type="spellEnd"/>
            <w:r w:rsidRPr="00621BF1">
              <w:rPr>
                <w:rFonts w:eastAsia="Times New Roman" w:cs="Times New Roman"/>
                <w:b/>
                <w:bCs/>
                <w:color w:val="FFFFFF"/>
                <w:lang w:val="en-US"/>
              </w:rPr>
              <w:t xml:space="preserve"> </w:t>
            </w:r>
            <w:proofErr w:type="spellStart"/>
            <w:r w:rsidRPr="00621BF1">
              <w:rPr>
                <w:rFonts w:eastAsia="Times New Roman" w:cs="Times New Roman"/>
                <w:b/>
                <w:bCs/>
                <w:color w:val="FFFFFF"/>
                <w:lang w:val="en-US"/>
              </w:rPr>
              <w:t>essentielles</w:t>
            </w:r>
            <w:proofErr w:type="spellEnd"/>
          </w:p>
        </w:tc>
        <w:tc>
          <w:tcPr>
            <w:tcW w:w="1620" w:type="dxa"/>
            <w:vMerge w:val="restart"/>
            <w:tcBorders>
              <w:top w:val="nil"/>
              <w:left w:val="single" w:sz="8" w:space="0" w:color="auto"/>
              <w:bottom w:val="single" w:sz="8" w:space="0" w:color="auto"/>
              <w:right w:val="single" w:sz="8" w:space="0" w:color="auto"/>
            </w:tcBorders>
            <w:shd w:val="clear" w:color="000000" w:fill="757171"/>
            <w:vAlign w:val="center"/>
            <w:hideMark/>
          </w:tcPr>
          <w:p w:rsidR="00983C0F" w:rsidRPr="00621BF1" w:rsidRDefault="00983C0F" w:rsidP="00983C0F">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Responsables</w:t>
            </w:r>
            <w:proofErr w:type="spellEnd"/>
          </w:p>
        </w:tc>
        <w:tc>
          <w:tcPr>
            <w:tcW w:w="4230" w:type="dxa"/>
            <w:gridSpan w:val="5"/>
            <w:tcBorders>
              <w:top w:val="single" w:sz="8" w:space="0" w:color="auto"/>
              <w:left w:val="nil"/>
              <w:bottom w:val="single" w:sz="8" w:space="0" w:color="auto"/>
              <w:right w:val="single" w:sz="8" w:space="0" w:color="auto"/>
            </w:tcBorders>
            <w:shd w:val="clear" w:color="000000" w:fill="757171"/>
            <w:noWrap/>
            <w:vAlign w:val="center"/>
            <w:hideMark/>
          </w:tcPr>
          <w:p w:rsidR="00983C0F" w:rsidRPr="00621BF1" w:rsidRDefault="00983C0F" w:rsidP="00983C0F">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Chronogramme</w:t>
            </w:r>
            <w:proofErr w:type="spellEnd"/>
          </w:p>
        </w:tc>
      </w:tr>
      <w:tr w:rsidR="00983C0F" w:rsidRPr="00621BF1" w:rsidTr="00983C0F">
        <w:trPr>
          <w:trHeight w:val="360"/>
          <w:tblHeader/>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b/>
                <w:bCs/>
                <w:color w:val="FFFFFF"/>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b/>
                <w:bCs/>
                <w:color w:val="FFFFFF"/>
                <w:lang w:val="en-US"/>
              </w:rPr>
            </w:pPr>
          </w:p>
        </w:tc>
        <w:tc>
          <w:tcPr>
            <w:tcW w:w="4230"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b/>
                <w:bCs/>
                <w:color w:val="FFFFFF"/>
                <w:lang w:val="en-US"/>
              </w:rPr>
            </w:pPr>
          </w:p>
        </w:tc>
        <w:tc>
          <w:tcPr>
            <w:tcW w:w="1620"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b/>
                <w:bCs/>
                <w:color w:val="FFFFFF"/>
                <w:lang w:val="en-US"/>
              </w:rPr>
            </w:pPr>
          </w:p>
        </w:tc>
        <w:tc>
          <w:tcPr>
            <w:tcW w:w="900" w:type="dxa"/>
            <w:tcBorders>
              <w:top w:val="nil"/>
              <w:left w:val="nil"/>
              <w:bottom w:val="single" w:sz="8" w:space="0" w:color="auto"/>
              <w:right w:val="single" w:sz="8" w:space="0" w:color="auto"/>
            </w:tcBorders>
            <w:shd w:val="clear" w:color="000000" w:fill="757171"/>
            <w:vAlign w:val="center"/>
            <w:hideMark/>
          </w:tcPr>
          <w:p w:rsidR="00983C0F" w:rsidRPr="00621BF1" w:rsidRDefault="00983C0F" w:rsidP="00983C0F">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2016</w:t>
            </w:r>
          </w:p>
        </w:tc>
        <w:tc>
          <w:tcPr>
            <w:tcW w:w="900" w:type="dxa"/>
            <w:tcBorders>
              <w:top w:val="nil"/>
              <w:left w:val="nil"/>
              <w:bottom w:val="single" w:sz="8" w:space="0" w:color="auto"/>
              <w:right w:val="single" w:sz="8" w:space="0" w:color="auto"/>
            </w:tcBorders>
            <w:shd w:val="clear" w:color="000000" w:fill="757171"/>
            <w:vAlign w:val="center"/>
            <w:hideMark/>
          </w:tcPr>
          <w:p w:rsidR="00983C0F" w:rsidRPr="00621BF1" w:rsidRDefault="00983C0F" w:rsidP="00983C0F">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2017</w:t>
            </w:r>
          </w:p>
        </w:tc>
        <w:tc>
          <w:tcPr>
            <w:tcW w:w="900" w:type="dxa"/>
            <w:tcBorders>
              <w:top w:val="nil"/>
              <w:left w:val="nil"/>
              <w:bottom w:val="single" w:sz="8" w:space="0" w:color="auto"/>
              <w:right w:val="single" w:sz="8" w:space="0" w:color="auto"/>
            </w:tcBorders>
            <w:shd w:val="clear" w:color="000000" w:fill="757171"/>
            <w:vAlign w:val="center"/>
            <w:hideMark/>
          </w:tcPr>
          <w:p w:rsidR="00983C0F" w:rsidRPr="00621BF1" w:rsidRDefault="00983C0F" w:rsidP="00983C0F">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2018</w:t>
            </w:r>
          </w:p>
        </w:tc>
        <w:tc>
          <w:tcPr>
            <w:tcW w:w="810" w:type="dxa"/>
            <w:tcBorders>
              <w:top w:val="nil"/>
              <w:left w:val="nil"/>
              <w:bottom w:val="single" w:sz="8" w:space="0" w:color="auto"/>
              <w:right w:val="single" w:sz="8" w:space="0" w:color="auto"/>
            </w:tcBorders>
            <w:shd w:val="clear" w:color="000000" w:fill="757171"/>
            <w:vAlign w:val="center"/>
            <w:hideMark/>
          </w:tcPr>
          <w:p w:rsidR="00983C0F" w:rsidRPr="00621BF1" w:rsidRDefault="00983C0F" w:rsidP="00983C0F">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2019</w:t>
            </w:r>
          </w:p>
        </w:tc>
        <w:tc>
          <w:tcPr>
            <w:tcW w:w="720" w:type="dxa"/>
            <w:tcBorders>
              <w:top w:val="nil"/>
              <w:left w:val="nil"/>
              <w:bottom w:val="single" w:sz="8" w:space="0" w:color="auto"/>
              <w:right w:val="single" w:sz="8" w:space="0" w:color="auto"/>
            </w:tcBorders>
            <w:shd w:val="clear" w:color="000000" w:fill="757171"/>
            <w:vAlign w:val="center"/>
            <w:hideMark/>
          </w:tcPr>
          <w:p w:rsidR="00983C0F" w:rsidRPr="00621BF1" w:rsidRDefault="00983C0F" w:rsidP="00983C0F">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2020</w:t>
            </w:r>
          </w:p>
        </w:tc>
      </w:tr>
      <w:tr w:rsidR="00983C0F" w:rsidRPr="00621BF1" w:rsidTr="00983C0F">
        <w:trPr>
          <w:trHeight w:val="705"/>
        </w:trPr>
        <w:tc>
          <w:tcPr>
            <w:tcW w:w="1901" w:type="dxa"/>
            <w:vMerge w:val="restart"/>
            <w:tcBorders>
              <w:top w:val="nil"/>
              <w:left w:val="single" w:sz="8" w:space="0" w:color="auto"/>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rPr>
            </w:pPr>
            <w:r w:rsidRPr="00621BF1">
              <w:rPr>
                <w:rFonts w:eastAsia="Times New Roman" w:cs="Times New Roman"/>
                <w:color w:val="000000"/>
              </w:rPr>
              <w:t>D'ici à fin 2021, augmenter de 37% à 80% la gestion efficace des vaccins (GEV) à tous les niveaux</w:t>
            </w:r>
          </w:p>
        </w:tc>
        <w:tc>
          <w:tcPr>
            <w:tcW w:w="2599" w:type="dxa"/>
            <w:vMerge w:val="restart"/>
            <w:tcBorders>
              <w:top w:val="nil"/>
              <w:left w:val="single" w:sz="8" w:space="0" w:color="auto"/>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rPr>
            </w:pPr>
            <w:r w:rsidRPr="00621BF1">
              <w:rPr>
                <w:rFonts w:eastAsia="Times New Roman" w:cs="Times New Roman"/>
                <w:color w:val="000000"/>
              </w:rPr>
              <w:t>Renforcement des capacités techniques du personnel en gestion efficace des vaccins et maintenance</w:t>
            </w: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Former  8 MCMR, 38 DPS et 38 MCM préfectoraux à l’utilisation des outils SMT/DVDMT</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Doter 8 MCMR et 38 DPS en kits informatiques performants</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CPEV</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Former et recycler tous les agents de santé chargés de la gestion des vaccins sur les normes et procédures de gestion des vaccins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CPEV</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Former 1000 agents  à l’utilisation du matériel de monitorage, au rapportage et à l’analyse des données mensuelles</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Former 38 agents des districts pendant 7 jours en maintenance préventive</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Former/recycler 25 agents du niveau central et régional en maintenance curative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Assurer la formation des chauffeurs à l’utilisation des outils de gestion et à la conduite sécurisée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Produire et disséminer 2500 posters sur les normes et procédures de gestion des vaccins</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val="restart"/>
            <w:tcBorders>
              <w:top w:val="nil"/>
              <w:left w:val="single" w:sz="8" w:space="0" w:color="auto"/>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rPr>
            </w:pPr>
            <w:r w:rsidRPr="00621BF1">
              <w:rPr>
                <w:rFonts w:eastAsia="Times New Roman" w:cs="Times New Roman"/>
                <w:color w:val="000000"/>
              </w:rPr>
              <w:t>Renforcement de la chaine d’approvisionnement en quantité et en qualité (Chaine du froid, logistique et sécurité vaccinale) soutenue par un système d'information logistique robuste et un système de maintenance fonctionnel et décentralisé</w:t>
            </w: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Assurer l'approvisionnement des 38 districts en vaccins et consommables en quantité prévue et à temps</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544F8E">
        <w:trPr>
          <w:trHeight w:val="502"/>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Doter le niveau central en </w:t>
            </w:r>
            <w:proofErr w:type="spellStart"/>
            <w:r w:rsidRPr="00621BF1">
              <w:rPr>
                <w:rFonts w:eastAsia="Times New Roman" w:cs="Times New Roman"/>
                <w:color w:val="000000"/>
              </w:rPr>
              <w:t>Chf</w:t>
            </w:r>
            <w:proofErr w:type="spellEnd"/>
            <w:r w:rsidRPr="00621BF1">
              <w:rPr>
                <w:rFonts w:eastAsia="Times New Roman" w:cs="Times New Roman"/>
                <w:color w:val="000000"/>
              </w:rPr>
              <w:t xml:space="preserve"> de 40m3</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544F8E">
        <w:trPr>
          <w:trHeight w:val="529"/>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Doter les 8 dépôts régionaux en chambre froide de 10m3</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CPEV</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B53E25">
            <w:pPr>
              <w:spacing w:after="0" w:line="240" w:lineRule="auto"/>
              <w:rPr>
                <w:rFonts w:eastAsia="Times New Roman" w:cs="Times New Roman"/>
                <w:color w:val="000000"/>
              </w:rPr>
            </w:pPr>
            <w:r w:rsidRPr="00621BF1">
              <w:rPr>
                <w:rFonts w:eastAsia="Times New Roman" w:cs="Times New Roman"/>
                <w:color w:val="000000"/>
              </w:rPr>
              <w:t>Doter 18 districts en réfrigérateurs solaires SDD</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CPEV</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rPr>
              <w:t>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r>
      <w:tr w:rsidR="00A646DF" w:rsidRPr="00621BF1" w:rsidTr="000E5FB9">
        <w:trPr>
          <w:trHeight w:val="540"/>
        </w:trPr>
        <w:tc>
          <w:tcPr>
            <w:tcW w:w="1901" w:type="dxa"/>
            <w:vMerge/>
            <w:tcBorders>
              <w:top w:val="nil"/>
              <w:left w:val="single" w:sz="8" w:space="0" w:color="auto"/>
              <w:bottom w:val="single" w:sz="8" w:space="0" w:color="auto"/>
              <w:right w:val="single" w:sz="8" w:space="0" w:color="auto"/>
            </w:tcBorders>
            <w:vAlign w:val="center"/>
            <w:hideMark/>
          </w:tcPr>
          <w:p w:rsidR="00A646DF" w:rsidRPr="00621BF1" w:rsidRDefault="00A646DF" w:rsidP="00A646D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A646DF" w:rsidRPr="00621BF1" w:rsidRDefault="00A646DF" w:rsidP="00A646D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A646DF" w:rsidRPr="00B53E25" w:rsidRDefault="00A646DF" w:rsidP="00A646DF">
            <w:pPr>
              <w:spacing w:after="0" w:line="240" w:lineRule="auto"/>
              <w:rPr>
                <w:rFonts w:eastAsia="Times New Roman" w:cs="Times New Roman"/>
                <w:color w:val="000000"/>
              </w:rPr>
            </w:pPr>
            <w:r w:rsidRPr="00B53E25">
              <w:rPr>
                <w:rFonts w:eastAsia="Times New Roman" w:cs="Times New Roman"/>
                <w:color w:val="000000"/>
              </w:rPr>
              <w:t>Doter 935 postes de santé et 31 structures privées en réfrigérateurs solaires SDD</w:t>
            </w:r>
            <w:r>
              <w:rPr>
                <w:rFonts w:eastAsia="Times New Roman" w:cs="Times New Roman"/>
                <w:color w:val="000000"/>
              </w:rPr>
              <w:t xml:space="preserve">   et remplacer  395 réfrigérateurs non conformes</w:t>
            </w:r>
          </w:p>
        </w:tc>
        <w:tc>
          <w:tcPr>
            <w:tcW w:w="1620" w:type="dxa"/>
            <w:tcBorders>
              <w:top w:val="nil"/>
              <w:left w:val="nil"/>
              <w:bottom w:val="single" w:sz="8" w:space="0" w:color="auto"/>
              <w:right w:val="single" w:sz="8" w:space="0" w:color="auto"/>
            </w:tcBorders>
            <w:shd w:val="clear" w:color="auto" w:fill="auto"/>
            <w:vAlign w:val="center"/>
            <w:hideMark/>
          </w:tcPr>
          <w:p w:rsidR="00A646DF" w:rsidRPr="00B53E25" w:rsidRDefault="00A646DF" w:rsidP="00A646DF">
            <w:pPr>
              <w:spacing w:after="0" w:line="240" w:lineRule="auto"/>
              <w:jc w:val="center"/>
              <w:rPr>
                <w:rFonts w:eastAsia="Times New Roman" w:cs="Times New Roman"/>
                <w:color w:val="000000"/>
                <w:lang w:val="en-US"/>
              </w:rPr>
            </w:pPr>
            <w:r w:rsidRPr="00B53E25">
              <w:rPr>
                <w:rFonts w:eastAsia="Times New Roman" w:cs="Times New Roman"/>
                <w:color w:val="000000"/>
              </w:rPr>
              <w:t>CPEV</w:t>
            </w:r>
          </w:p>
        </w:tc>
        <w:tc>
          <w:tcPr>
            <w:tcW w:w="900" w:type="dxa"/>
            <w:tcBorders>
              <w:top w:val="nil"/>
              <w:left w:val="nil"/>
              <w:bottom w:val="single" w:sz="8" w:space="0" w:color="auto"/>
              <w:right w:val="single" w:sz="8" w:space="0" w:color="auto"/>
            </w:tcBorders>
            <w:shd w:val="clear" w:color="000000" w:fill="FFFFFF"/>
            <w:noWrap/>
            <w:vAlign w:val="center"/>
            <w:hideMark/>
          </w:tcPr>
          <w:p w:rsidR="00A646DF" w:rsidRPr="00B53E25" w:rsidRDefault="00A646DF" w:rsidP="00A646DF">
            <w:pPr>
              <w:spacing w:after="0" w:line="240" w:lineRule="auto"/>
              <w:jc w:val="center"/>
              <w:rPr>
                <w:rFonts w:eastAsia="Times New Roman" w:cs="Times New Roman"/>
                <w:color w:val="000000"/>
                <w:lang w:val="en-US"/>
              </w:rPr>
            </w:pPr>
            <w:r w:rsidRPr="00B53E25">
              <w:rPr>
                <w:rFonts w:eastAsia="Times New Roman" w:cs="Times New Roman"/>
                <w:color w:val="000000"/>
              </w:rPr>
              <w:t> </w:t>
            </w:r>
          </w:p>
        </w:tc>
        <w:tc>
          <w:tcPr>
            <w:tcW w:w="900" w:type="dxa"/>
            <w:tcBorders>
              <w:top w:val="nil"/>
              <w:left w:val="nil"/>
              <w:bottom w:val="single" w:sz="8" w:space="0" w:color="auto"/>
              <w:right w:val="single" w:sz="8" w:space="0" w:color="auto"/>
            </w:tcBorders>
            <w:shd w:val="clear" w:color="000000" w:fill="8497B0"/>
            <w:noWrap/>
            <w:vAlign w:val="bottom"/>
            <w:hideMark/>
          </w:tcPr>
          <w:p w:rsidR="00A646DF" w:rsidRDefault="00A646DF" w:rsidP="00A646DF">
            <w:pPr>
              <w:spacing w:after="0" w:line="240" w:lineRule="auto"/>
              <w:jc w:val="center"/>
              <w:rPr>
                <w:rFonts w:ascii="Times New Roman" w:hAnsi="Times New Roman"/>
                <w:color w:val="000000"/>
              </w:rPr>
            </w:pPr>
          </w:p>
          <w:p w:rsidR="00A646DF" w:rsidRPr="00A646DF" w:rsidRDefault="00A646DF" w:rsidP="00A646DF">
            <w:pPr>
              <w:spacing w:after="0" w:line="240" w:lineRule="auto"/>
              <w:jc w:val="center"/>
              <w:rPr>
                <w:rFonts w:ascii="Times New Roman" w:hAnsi="Times New Roman"/>
                <w:b/>
                <w:color w:val="000000"/>
              </w:rPr>
            </w:pPr>
            <w:r w:rsidRPr="00A646DF">
              <w:rPr>
                <w:rFonts w:ascii="Times New Roman" w:hAnsi="Times New Roman"/>
                <w:b/>
                <w:color w:val="000000"/>
              </w:rPr>
              <w:t>350</w:t>
            </w:r>
          </w:p>
          <w:p w:rsidR="00A646DF" w:rsidRDefault="00A646DF" w:rsidP="00A646DF">
            <w:pPr>
              <w:spacing w:after="0" w:line="240" w:lineRule="auto"/>
              <w:jc w:val="center"/>
              <w:rPr>
                <w:rFonts w:ascii="Times New Roman" w:hAnsi="Times New Roman"/>
                <w:color w:val="000000"/>
              </w:rPr>
            </w:pPr>
          </w:p>
        </w:tc>
        <w:tc>
          <w:tcPr>
            <w:tcW w:w="900" w:type="dxa"/>
            <w:tcBorders>
              <w:top w:val="nil"/>
              <w:left w:val="nil"/>
              <w:bottom w:val="single" w:sz="8" w:space="0" w:color="auto"/>
              <w:right w:val="single" w:sz="8" w:space="0" w:color="auto"/>
            </w:tcBorders>
            <w:shd w:val="clear" w:color="000000" w:fill="8497B0"/>
            <w:noWrap/>
            <w:vAlign w:val="bottom"/>
            <w:hideMark/>
          </w:tcPr>
          <w:p w:rsidR="00A646DF" w:rsidRDefault="00A646DF" w:rsidP="00A646DF">
            <w:pPr>
              <w:jc w:val="center"/>
              <w:rPr>
                <w:color w:val="000000"/>
              </w:rPr>
            </w:pPr>
            <w:r>
              <w:rPr>
                <w:color w:val="000000"/>
              </w:rPr>
              <w:t>250</w:t>
            </w:r>
          </w:p>
        </w:tc>
        <w:tc>
          <w:tcPr>
            <w:tcW w:w="810" w:type="dxa"/>
            <w:tcBorders>
              <w:top w:val="nil"/>
              <w:left w:val="nil"/>
              <w:bottom w:val="single" w:sz="8" w:space="0" w:color="auto"/>
              <w:right w:val="single" w:sz="8" w:space="0" w:color="auto"/>
            </w:tcBorders>
            <w:shd w:val="clear" w:color="000000" w:fill="8497B0"/>
            <w:noWrap/>
            <w:vAlign w:val="bottom"/>
            <w:hideMark/>
          </w:tcPr>
          <w:p w:rsidR="00A646DF" w:rsidRDefault="00A646DF" w:rsidP="00A646DF">
            <w:pPr>
              <w:jc w:val="center"/>
              <w:rPr>
                <w:color w:val="000000"/>
              </w:rPr>
            </w:pPr>
            <w:r>
              <w:rPr>
                <w:color w:val="000000"/>
              </w:rPr>
              <w:t>400</w:t>
            </w:r>
          </w:p>
        </w:tc>
        <w:tc>
          <w:tcPr>
            <w:tcW w:w="720" w:type="dxa"/>
            <w:tcBorders>
              <w:top w:val="nil"/>
              <w:left w:val="nil"/>
              <w:bottom w:val="single" w:sz="8" w:space="0" w:color="auto"/>
              <w:right w:val="single" w:sz="8" w:space="0" w:color="auto"/>
            </w:tcBorders>
            <w:shd w:val="clear" w:color="auto" w:fill="8496B0" w:themeFill="text2" w:themeFillTint="99"/>
            <w:noWrap/>
            <w:vAlign w:val="bottom"/>
            <w:hideMark/>
          </w:tcPr>
          <w:p w:rsidR="00A646DF" w:rsidRDefault="00A646DF" w:rsidP="00A646DF">
            <w:pPr>
              <w:jc w:val="center"/>
              <w:rPr>
                <w:color w:val="000000"/>
              </w:rPr>
            </w:pPr>
            <w:r>
              <w:rPr>
                <w:color w:val="000000"/>
              </w:rPr>
              <w:t>361</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Transformer les 8 </w:t>
            </w:r>
            <w:proofErr w:type="spellStart"/>
            <w:r w:rsidRPr="00621BF1">
              <w:rPr>
                <w:rFonts w:eastAsia="Times New Roman" w:cs="Times New Roman"/>
                <w:color w:val="000000"/>
              </w:rPr>
              <w:t>chf</w:t>
            </w:r>
            <w:proofErr w:type="spellEnd"/>
            <w:r w:rsidRPr="00621BF1">
              <w:rPr>
                <w:rFonts w:eastAsia="Times New Roman" w:cs="Times New Roman"/>
                <w:color w:val="000000"/>
              </w:rPr>
              <w:t xml:space="preserve"> électriques des régions en </w:t>
            </w:r>
            <w:proofErr w:type="spellStart"/>
            <w:r w:rsidRPr="00621BF1">
              <w:rPr>
                <w:rFonts w:eastAsia="Times New Roman" w:cs="Times New Roman"/>
                <w:color w:val="000000"/>
              </w:rPr>
              <w:t>chf</w:t>
            </w:r>
            <w:proofErr w:type="spellEnd"/>
            <w:r w:rsidRPr="00621BF1">
              <w:rPr>
                <w:rFonts w:eastAsia="Times New Roman" w:cs="Times New Roman"/>
                <w:color w:val="000000"/>
              </w:rPr>
              <w:t xml:space="preserve"> solaires</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CPEV</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rPr>
              <w:t>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 </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Equiper 40 agents charge du niveau central et régional des chambres froides en Kit de protection individuelle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Former/recycler les agents à l’utilisation du matériel de protection </w:t>
            </w:r>
            <w:proofErr w:type="gramStart"/>
            <w:r w:rsidRPr="00621BF1">
              <w:rPr>
                <w:rFonts w:eastAsia="Times New Roman" w:cs="Times New Roman"/>
                <w:color w:val="000000"/>
              </w:rPr>
              <w:t>incendie</w:t>
            </w:r>
            <w:proofErr w:type="gramEnd"/>
            <w:r w:rsidRPr="00621BF1">
              <w:rPr>
                <w:rFonts w:eastAsia="Times New Roman" w:cs="Times New Roman"/>
                <w:color w:val="000000"/>
              </w:rPr>
              <w:t xml:space="preserv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Doter 30 structures privées en réfrigérateurs solaires SDD</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Acquérir  700  enregistreurs continus de température</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Elaborer/ actualiser les modules de formation en maintenance préventive et curative</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Reproduire 570 copies des modules de maintenance et vulgariser</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139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Mettre en place un mécanisme de collaboration entre l’IST de Mamou, l’ENAM et le PEV pour le recrutement et la formation des techniciens de maintenance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Elaborer un document de procédure pour la maintenance préventive et curative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Identifier des prestataires (garage) de maintenance à tous les niveaux</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Equiper 40 agents charge du niveau central et régional des chambres froides en Kit de protection individuelle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Doter les agents en Kits de maintenance préventive et curative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Etablir un contrat de prestation de maintenance des moyens roulants</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Elaborer les normes et procédures de moyens roulants a tous les niveaux</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Doter la logistique roulante en carburant nécessaire à tous les niveaux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Souscrire des polices d’assurance pour la logistique roulante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MS</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174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Doter la Coordination de 05 véhicules   4x4 de supervision ; 03 régions  de véhicules de supervision et 10 districts  de véhicules de supervision avec des kits de pièces de rechange pour 2 ans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FFFFFF"/>
            <w:noWrap/>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Doter 200 CS  en motos (Yamaha AG 100) pour SA avec des kits standard de pièces de rechange pour 2 ans</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Acheter et rendre disponible 10 groupes frigorifiques (6 </w:t>
            </w:r>
            <w:proofErr w:type="spellStart"/>
            <w:r w:rsidRPr="00621BF1">
              <w:rPr>
                <w:rFonts w:eastAsia="Times New Roman" w:cs="Times New Roman"/>
                <w:color w:val="000000"/>
              </w:rPr>
              <w:t>chf</w:t>
            </w:r>
            <w:proofErr w:type="spellEnd"/>
            <w:r w:rsidRPr="00621BF1">
              <w:rPr>
                <w:rFonts w:eastAsia="Times New Roman" w:cs="Times New Roman"/>
                <w:color w:val="000000"/>
              </w:rPr>
              <w:t xml:space="preserve">  positifs et 4 négatifs)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Acheter  et rendre disponible 10 régulateurs de tension  pour les chambres froides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Acheter  et rendre disponible 100 relais pour les chaines du froid solaires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Renouveler les batteries de 100  réfrigérateurs solaires existant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Acheter des boitiers pour 200 réfrigérateurs solaires</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Evaluer les infrastructures existantes, et les nouveaux besoins à tous les niveaux assortis de budget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Acquérir 107 extincteurs pour les niveaux : central, régional et district et 05 dispositifs pare-feu pour le niveau central</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Mettre en place un contrat pour  la maintenance préventive des 107 extincteurs et autres matériels anti-incendie</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139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Souscrire des polices d’assurance  pour la protection des espaces de stockage,  les produits du PEV (vaccins, chaîne de froids, matériel d’injection etc…)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 xml:space="preserve">MS </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1050"/>
        </w:trPr>
        <w:tc>
          <w:tcPr>
            <w:tcW w:w="1901" w:type="dxa"/>
            <w:vMerge w:val="restart"/>
            <w:tcBorders>
              <w:top w:val="nil"/>
              <w:left w:val="single" w:sz="8" w:space="0" w:color="auto"/>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rPr>
            </w:pPr>
            <w:r w:rsidRPr="00621BF1">
              <w:rPr>
                <w:rFonts w:eastAsia="Times New Roman" w:cs="Times New Roman"/>
                <w:color w:val="000000"/>
              </w:rPr>
              <w:lastRenderedPageBreak/>
              <w:t>D’ici 2020, développer et mettre en œuvre un plan de gestion des déchets biomédicaux suivant les normes de l’OMS et environnementales</w:t>
            </w:r>
          </w:p>
        </w:tc>
        <w:tc>
          <w:tcPr>
            <w:tcW w:w="2599" w:type="dxa"/>
            <w:vMerge w:val="restart"/>
            <w:tcBorders>
              <w:top w:val="nil"/>
              <w:left w:val="single" w:sz="8" w:space="0" w:color="auto"/>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rPr>
            </w:pPr>
            <w:r w:rsidRPr="00621BF1">
              <w:rPr>
                <w:rFonts w:eastAsia="Times New Roman" w:cs="Times New Roman"/>
                <w:color w:val="000000"/>
              </w:rPr>
              <w:t>Renforcement du système de collecte, de tri, de transport et de destruction des déchets</w:t>
            </w: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Procéder à l’évaluation de l’existant et identifier les nouveaux besoins, les  spécifications techniques et le budget</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1050"/>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Acquérir  au moins un incinérateur performant pour chaque district (38) des kits pour la collecte, le tri des déchets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r w:rsidR="00983C0F" w:rsidRPr="00621BF1" w:rsidTr="00983C0F">
        <w:trPr>
          <w:trHeight w:val="705"/>
        </w:trPr>
        <w:tc>
          <w:tcPr>
            <w:tcW w:w="1901"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2599" w:type="dxa"/>
            <w:vMerge/>
            <w:tcBorders>
              <w:top w:val="nil"/>
              <w:left w:val="single" w:sz="8" w:space="0" w:color="auto"/>
              <w:bottom w:val="single" w:sz="8" w:space="0" w:color="auto"/>
              <w:right w:val="single" w:sz="8" w:space="0" w:color="auto"/>
            </w:tcBorders>
            <w:vAlign w:val="center"/>
            <w:hideMark/>
          </w:tcPr>
          <w:p w:rsidR="00983C0F" w:rsidRPr="00621BF1" w:rsidRDefault="00983C0F" w:rsidP="00983C0F">
            <w:pPr>
              <w:spacing w:after="0" w:line="240" w:lineRule="auto"/>
              <w:rPr>
                <w:rFonts w:eastAsia="Times New Roman" w:cs="Times New Roman"/>
                <w:color w:val="000000"/>
                <w:lang w:val="en-US"/>
              </w:rPr>
            </w:pPr>
          </w:p>
        </w:tc>
        <w:tc>
          <w:tcPr>
            <w:tcW w:w="423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rPr>
                <w:rFonts w:eastAsia="Times New Roman" w:cs="Times New Roman"/>
                <w:color w:val="000000"/>
              </w:rPr>
            </w:pPr>
            <w:r w:rsidRPr="00621BF1">
              <w:rPr>
                <w:rFonts w:eastAsia="Times New Roman" w:cs="Times New Roman"/>
                <w:color w:val="000000"/>
              </w:rPr>
              <w:t xml:space="preserve">Former 4 points focaux par district à la gestion des déchets et les doter en kit de protection individuelle  </w:t>
            </w:r>
          </w:p>
        </w:tc>
        <w:tc>
          <w:tcPr>
            <w:tcW w:w="1620" w:type="dxa"/>
            <w:tcBorders>
              <w:top w:val="nil"/>
              <w:left w:val="nil"/>
              <w:bottom w:val="single" w:sz="8" w:space="0" w:color="auto"/>
              <w:right w:val="single" w:sz="8" w:space="0" w:color="auto"/>
            </w:tcBorders>
            <w:shd w:val="clear" w:color="auto" w:fill="auto"/>
            <w:vAlign w:val="center"/>
            <w:hideMark/>
          </w:tcPr>
          <w:p w:rsidR="00983C0F" w:rsidRPr="00621BF1" w:rsidRDefault="00983C0F" w:rsidP="00983C0F">
            <w:pPr>
              <w:spacing w:after="0" w:line="240" w:lineRule="auto"/>
              <w:jc w:val="center"/>
              <w:rPr>
                <w:rFonts w:eastAsia="Times New Roman" w:cs="Times New Roman"/>
                <w:color w:val="000000"/>
                <w:lang w:val="en-US"/>
              </w:rPr>
            </w:pPr>
            <w:r w:rsidRPr="00621BF1">
              <w:rPr>
                <w:rFonts w:eastAsia="Times New Roman" w:cs="Times New Roman"/>
                <w:color w:val="000000"/>
                <w:lang w:val="en-US"/>
              </w:rPr>
              <w:t>CPEV</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90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983C0F" w:rsidRPr="00621BF1" w:rsidRDefault="00983C0F" w:rsidP="00983C0F">
            <w:pPr>
              <w:spacing w:after="0" w:line="240" w:lineRule="auto"/>
              <w:jc w:val="center"/>
              <w:rPr>
                <w:rFonts w:eastAsia="Times New Roman" w:cs="Times New Roman"/>
                <w:color w:val="8497B0"/>
                <w:lang w:val="en-US"/>
              </w:rPr>
            </w:pPr>
            <w:r w:rsidRPr="00621BF1">
              <w:rPr>
                <w:rFonts w:eastAsia="Times New Roman" w:cs="Times New Roman"/>
                <w:color w:val="8497B0"/>
                <w:lang w:val="en-US"/>
              </w:rPr>
              <w:t>x</w:t>
            </w:r>
          </w:p>
        </w:tc>
      </w:tr>
    </w:tbl>
    <w:p w:rsidR="00431B9D" w:rsidRPr="00621BF1" w:rsidRDefault="00431B9D" w:rsidP="00876B1A">
      <w:pPr>
        <w:pStyle w:val="Titre3"/>
        <w:numPr>
          <w:ilvl w:val="0"/>
          <w:numId w:val="0"/>
        </w:numPr>
        <w:spacing w:before="0" w:after="120"/>
        <w:ind w:left="720"/>
        <w:rPr>
          <w:rFonts w:cs="Arial"/>
        </w:rPr>
      </w:pPr>
    </w:p>
    <w:p w:rsidR="00431B9D" w:rsidRPr="00621BF1" w:rsidRDefault="00431B9D" w:rsidP="00431B9D">
      <w:pPr>
        <w:spacing w:after="120"/>
        <w:rPr>
          <w:rFonts w:cs="Arial"/>
          <w:b/>
          <w:bCs/>
          <w:szCs w:val="26"/>
          <w:lang w:val="fr-BE"/>
        </w:rPr>
      </w:pPr>
      <w:r w:rsidRPr="00621BF1">
        <w:rPr>
          <w:rFonts w:cs="Arial"/>
        </w:rPr>
        <w:br w:type="page"/>
      </w:r>
    </w:p>
    <w:tbl>
      <w:tblPr>
        <w:tblW w:w="5000" w:type="pct"/>
        <w:tblLayout w:type="fixed"/>
        <w:tblLook w:val="04A0" w:firstRow="1" w:lastRow="0" w:firstColumn="1" w:lastColumn="0" w:noHBand="0" w:noVBand="1"/>
      </w:tblPr>
      <w:tblGrid>
        <w:gridCol w:w="2388"/>
        <w:gridCol w:w="1918"/>
        <w:gridCol w:w="4790"/>
        <w:gridCol w:w="1725"/>
        <w:gridCol w:w="956"/>
        <w:gridCol w:w="769"/>
        <w:gridCol w:w="769"/>
        <w:gridCol w:w="763"/>
        <w:gridCol w:w="816"/>
      </w:tblGrid>
      <w:tr w:rsidR="00431B9D" w:rsidRPr="00621BF1" w:rsidTr="00ED0C53">
        <w:trPr>
          <w:trHeight w:val="345"/>
          <w:tblHeader/>
        </w:trPr>
        <w:tc>
          <w:tcPr>
            <w:tcW w:w="3054" w:type="pct"/>
            <w:gridSpan w:val="3"/>
            <w:tcBorders>
              <w:top w:val="single" w:sz="4" w:space="0" w:color="auto"/>
              <w:left w:val="single" w:sz="4" w:space="0" w:color="auto"/>
              <w:bottom w:val="single" w:sz="4" w:space="0" w:color="auto"/>
              <w:right w:val="nil"/>
            </w:tcBorders>
            <w:shd w:val="clear" w:color="auto" w:fill="C45911" w:themeFill="accent2" w:themeFillShade="BF"/>
            <w:noWrap/>
            <w:vAlign w:val="bottom"/>
            <w:hideMark/>
          </w:tcPr>
          <w:p w:rsidR="00431B9D" w:rsidRPr="00621BF1" w:rsidRDefault="00431B9D" w:rsidP="00ED0C53">
            <w:pPr>
              <w:spacing w:after="120"/>
              <w:rPr>
                <w:b/>
                <w:bCs/>
                <w:color w:val="FFFFFF"/>
              </w:rPr>
            </w:pPr>
            <w:r w:rsidRPr="00621BF1">
              <w:rPr>
                <w:b/>
                <w:bCs/>
                <w:color w:val="FFFFFF"/>
              </w:rPr>
              <w:lastRenderedPageBreak/>
              <w:t>C. SURVEILLANCE DES MALADIES EVITABLES PAR LA VACCINATION</w:t>
            </w:r>
          </w:p>
        </w:tc>
        <w:tc>
          <w:tcPr>
            <w:tcW w:w="579" w:type="pct"/>
            <w:tcBorders>
              <w:top w:val="single" w:sz="4" w:space="0" w:color="auto"/>
              <w:left w:val="nil"/>
              <w:bottom w:val="single" w:sz="4" w:space="0" w:color="auto"/>
              <w:right w:val="nil"/>
            </w:tcBorders>
            <w:shd w:val="clear" w:color="auto" w:fill="C45911" w:themeFill="accent2" w:themeFillShade="BF"/>
            <w:noWrap/>
            <w:vAlign w:val="center"/>
            <w:hideMark/>
          </w:tcPr>
          <w:p w:rsidR="00431B9D" w:rsidRPr="00621BF1" w:rsidRDefault="00431B9D" w:rsidP="00ED0C53">
            <w:pPr>
              <w:spacing w:after="120"/>
              <w:jc w:val="center"/>
              <w:rPr>
                <w:b/>
                <w:bCs/>
                <w:color w:val="FFFFFF"/>
              </w:rPr>
            </w:pPr>
            <w:r w:rsidRPr="00621BF1">
              <w:rPr>
                <w:b/>
                <w:bCs/>
                <w:color w:val="FFFFFF"/>
              </w:rPr>
              <w:t> </w:t>
            </w:r>
          </w:p>
        </w:tc>
        <w:tc>
          <w:tcPr>
            <w:tcW w:w="321" w:type="pct"/>
            <w:tcBorders>
              <w:top w:val="single" w:sz="4" w:space="0" w:color="auto"/>
              <w:left w:val="nil"/>
              <w:bottom w:val="single" w:sz="4" w:space="0" w:color="auto"/>
              <w:right w:val="nil"/>
            </w:tcBorders>
            <w:shd w:val="clear" w:color="auto" w:fill="C45911" w:themeFill="accent2" w:themeFillShade="BF"/>
            <w:noWrap/>
            <w:vAlign w:val="bottom"/>
            <w:hideMark/>
          </w:tcPr>
          <w:p w:rsidR="00431B9D" w:rsidRPr="00621BF1" w:rsidRDefault="00431B9D" w:rsidP="00ED0C53">
            <w:pPr>
              <w:spacing w:after="120"/>
              <w:rPr>
                <w:b/>
                <w:bCs/>
                <w:color w:val="FFFFFF"/>
              </w:rPr>
            </w:pPr>
            <w:r w:rsidRPr="00621BF1">
              <w:rPr>
                <w:b/>
                <w:bCs/>
                <w:color w:val="FFFFFF"/>
              </w:rPr>
              <w:t> </w:t>
            </w:r>
          </w:p>
        </w:tc>
        <w:tc>
          <w:tcPr>
            <w:tcW w:w="258" w:type="pct"/>
            <w:tcBorders>
              <w:top w:val="single" w:sz="4" w:space="0" w:color="auto"/>
              <w:left w:val="nil"/>
              <w:bottom w:val="single" w:sz="4" w:space="0" w:color="auto"/>
              <w:right w:val="nil"/>
            </w:tcBorders>
            <w:shd w:val="clear" w:color="auto" w:fill="C45911" w:themeFill="accent2" w:themeFillShade="BF"/>
            <w:noWrap/>
            <w:vAlign w:val="bottom"/>
            <w:hideMark/>
          </w:tcPr>
          <w:p w:rsidR="00431B9D" w:rsidRPr="00621BF1" w:rsidRDefault="00431B9D" w:rsidP="00ED0C53">
            <w:pPr>
              <w:spacing w:after="120"/>
              <w:rPr>
                <w:b/>
                <w:bCs/>
                <w:color w:val="FFFFFF"/>
              </w:rPr>
            </w:pPr>
            <w:r w:rsidRPr="00621BF1">
              <w:rPr>
                <w:b/>
                <w:bCs/>
                <w:color w:val="FFFFFF"/>
              </w:rPr>
              <w:t> </w:t>
            </w:r>
          </w:p>
        </w:tc>
        <w:tc>
          <w:tcPr>
            <w:tcW w:w="258" w:type="pct"/>
            <w:tcBorders>
              <w:top w:val="single" w:sz="4" w:space="0" w:color="auto"/>
              <w:left w:val="nil"/>
              <w:bottom w:val="single" w:sz="4" w:space="0" w:color="auto"/>
              <w:right w:val="nil"/>
            </w:tcBorders>
            <w:shd w:val="clear" w:color="auto" w:fill="C45911" w:themeFill="accent2" w:themeFillShade="BF"/>
            <w:noWrap/>
            <w:vAlign w:val="bottom"/>
            <w:hideMark/>
          </w:tcPr>
          <w:p w:rsidR="00431B9D" w:rsidRPr="00621BF1" w:rsidRDefault="00431B9D" w:rsidP="00ED0C53">
            <w:pPr>
              <w:spacing w:after="120"/>
              <w:rPr>
                <w:b/>
                <w:bCs/>
                <w:color w:val="FFFFFF"/>
              </w:rPr>
            </w:pPr>
            <w:r w:rsidRPr="00621BF1">
              <w:rPr>
                <w:b/>
                <w:bCs/>
                <w:color w:val="FFFFFF"/>
              </w:rPr>
              <w:t> </w:t>
            </w:r>
          </w:p>
        </w:tc>
        <w:tc>
          <w:tcPr>
            <w:tcW w:w="256" w:type="pct"/>
            <w:tcBorders>
              <w:top w:val="single" w:sz="4" w:space="0" w:color="auto"/>
              <w:left w:val="nil"/>
              <w:bottom w:val="single" w:sz="4" w:space="0" w:color="auto"/>
              <w:right w:val="nil"/>
            </w:tcBorders>
            <w:shd w:val="clear" w:color="auto" w:fill="C45911" w:themeFill="accent2" w:themeFillShade="BF"/>
            <w:noWrap/>
            <w:vAlign w:val="bottom"/>
            <w:hideMark/>
          </w:tcPr>
          <w:p w:rsidR="00431B9D" w:rsidRPr="00621BF1" w:rsidRDefault="00431B9D" w:rsidP="00ED0C53">
            <w:pPr>
              <w:spacing w:after="120"/>
              <w:rPr>
                <w:b/>
                <w:bCs/>
                <w:color w:val="FFFFFF"/>
              </w:rPr>
            </w:pPr>
            <w:r w:rsidRPr="00621BF1">
              <w:rPr>
                <w:b/>
                <w:bCs/>
                <w:color w:val="FFFFFF"/>
              </w:rPr>
              <w:t> </w:t>
            </w:r>
          </w:p>
        </w:tc>
        <w:tc>
          <w:tcPr>
            <w:tcW w:w="274" w:type="pct"/>
            <w:tcBorders>
              <w:top w:val="single" w:sz="4" w:space="0" w:color="auto"/>
              <w:left w:val="nil"/>
              <w:bottom w:val="single" w:sz="4" w:space="0" w:color="auto"/>
              <w:right w:val="single" w:sz="4" w:space="0" w:color="auto"/>
            </w:tcBorders>
            <w:shd w:val="clear" w:color="auto" w:fill="C45911" w:themeFill="accent2" w:themeFillShade="BF"/>
            <w:noWrap/>
            <w:vAlign w:val="bottom"/>
            <w:hideMark/>
          </w:tcPr>
          <w:p w:rsidR="00431B9D" w:rsidRPr="00621BF1" w:rsidRDefault="00431B9D" w:rsidP="00ED0C53">
            <w:pPr>
              <w:spacing w:after="120"/>
              <w:rPr>
                <w:b/>
                <w:bCs/>
                <w:color w:val="FFFFFF"/>
              </w:rPr>
            </w:pPr>
            <w:r w:rsidRPr="00621BF1">
              <w:rPr>
                <w:b/>
                <w:bCs/>
                <w:color w:val="FFFFFF"/>
              </w:rPr>
              <w:t> </w:t>
            </w:r>
          </w:p>
        </w:tc>
      </w:tr>
      <w:tr w:rsidR="00431B9D" w:rsidRPr="00621BF1" w:rsidTr="00ED0C53">
        <w:trPr>
          <w:trHeight w:val="345"/>
          <w:tblHeader/>
        </w:trPr>
        <w:tc>
          <w:tcPr>
            <w:tcW w:w="802" w:type="pct"/>
            <w:vMerge w:val="restart"/>
            <w:tcBorders>
              <w:top w:val="nil"/>
              <w:left w:val="single" w:sz="4" w:space="0" w:color="auto"/>
              <w:bottom w:val="single" w:sz="4" w:space="0" w:color="000000"/>
              <w:right w:val="single" w:sz="4" w:space="0" w:color="auto"/>
            </w:tcBorders>
            <w:shd w:val="clear" w:color="000000" w:fill="757171"/>
            <w:vAlign w:val="center"/>
            <w:hideMark/>
          </w:tcPr>
          <w:p w:rsidR="00431B9D" w:rsidRPr="00621BF1" w:rsidRDefault="00431B9D" w:rsidP="00ED0C53">
            <w:pPr>
              <w:spacing w:after="120"/>
              <w:jc w:val="center"/>
              <w:rPr>
                <w:b/>
                <w:bCs/>
                <w:color w:val="FFFFFF"/>
                <w:lang w:val="en-US"/>
              </w:rPr>
            </w:pPr>
            <w:r w:rsidRPr="00621BF1">
              <w:rPr>
                <w:rFonts w:cs="Arial"/>
                <w:b/>
                <w:bCs/>
                <w:color w:val="FFFFFF"/>
              </w:rPr>
              <w:t>Objectifs</w:t>
            </w:r>
          </w:p>
        </w:tc>
        <w:tc>
          <w:tcPr>
            <w:tcW w:w="644" w:type="pct"/>
            <w:vMerge w:val="restart"/>
            <w:tcBorders>
              <w:top w:val="nil"/>
              <w:left w:val="single" w:sz="4" w:space="0" w:color="auto"/>
              <w:bottom w:val="single" w:sz="4" w:space="0" w:color="000000"/>
              <w:right w:val="single" w:sz="4" w:space="0" w:color="auto"/>
            </w:tcBorders>
            <w:shd w:val="clear" w:color="000000" w:fill="757171"/>
            <w:vAlign w:val="center"/>
            <w:hideMark/>
          </w:tcPr>
          <w:p w:rsidR="00431B9D" w:rsidRPr="00621BF1" w:rsidRDefault="00431B9D" w:rsidP="00ED0C53">
            <w:pPr>
              <w:spacing w:after="120"/>
              <w:jc w:val="center"/>
              <w:rPr>
                <w:b/>
                <w:bCs/>
                <w:color w:val="FFFFFF"/>
                <w:lang w:val="en-US"/>
              </w:rPr>
            </w:pPr>
            <w:r w:rsidRPr="00621BF1">
              <w:rPr>
                <w:rFonts w:cs="Arial"/>
                <w:b/>
                <w:bCs/>
                <w:color w:val="FFFFFF"/>
              </w:rPr>
              <w:t>Stratégies</w:t>
            </w:r>
          </w:p>
        </w:tc>
        <w:tc>
          <w:tcPr>
            <w:tcW w:w="1608" w:type="pct"/>
            <w:vMerge w:val="restart"/>
            <w:tcBorders>
              <w:top w:val="nil"/>
              <w:left w:val="single" w:sz="4" w:space="0" w:color="auto"/>
              <w:bottom w:val="single" w:sz="4" w:space="0" w:color="000000"/>
              <w:right w:val="single" w:sz="4" w:space="0" w:color="auto"/>
            </w:tcBorders>
            <w:shd w:val="clear" w:color="000000" w:fill="757171"/>
            <w:vAlign w:val="center"/>
            <w:hideMark/>
          </w:tcPr>
          <w:p w:rsidR="00431B9D" w:rsidRPr="00621BF1" w:rsidRDefault="00431B9D" w:rsidP="00ED0C53">
            <w:pPr>
              <w:spacing w:after="120"/>
              <w:jc w:val="center"/>
              <w:rPr>
                <w:b/>
                <w:bCs/>
                <w:color w:val="FFFFFF"/>
                <w:lang w:val="en-US"/>
              </w:rPr>
            </w:pPr>
            <w:r w:rsidRPr="00621BF1">
              <w:rPr>
                <w:rFonts w:cs="Arial"/>
                <w:b/>
                <w:bCs/>
                <w:color w:val="FFFFFF"/>
              </w:rPr>
              <w:t>Activités essentielles</w:t>
            </w:r>
          </w:p>
        </w:tc>
        <w:tc>
          <w:tcPr>
            <w:tcW w:w="579" w:type="pct"/>
            <w:vMerge w:val="restart"/>
            <w:tcBorders>
              <w:top w:val="nil"/>
              <w:left w:val="single" w:sz="4" w:space="0" w:color="auto"/>
              <w:bottom w:val="single" w:sz="4" w:space="0" w:color="000000"/>
              <w:right w:val="single" w:sz="4" w:space="0" w:color="auto"/>
            </w:tcBorders>
            <w:shd w:val="clear" w:color="000000" w:fill="757171"/>
            <w:vAlign w:val="center"/>
            <w:hideMark/>
          </w:tcPr>
          <w:p w:rsidR="00431B9D" w:rsidRPr="00621BF1" w:rsidRDefault="00431B9D" w:rsidP="00ED0C53">
            <w:pPr>
              <w:spacing w:after="120"/>
              <w:jc w:val="center"/>
              <w:rPr>
                <w:b/>
                <w:bCs/>
                <w:color w:val="FFFFFF"/>
                <w:lang w:val="en-US"/>
              </w:rPr>
            </w:pPr>
            <w:r w:rsidRPr="00621BF1">
              <w:rPr>
                <w:rFonts w:cs="Arial"/>
                <w:b/>
                <w:bCs/>
                <w:color w:val="FFFFFF"/>
              </w:rPr>
              <w:t>Responsables</w:t>
            </w:r>
          </w:p>
        </w:tc>
        <w:tc>
          <w:tcPr>
            <w:tcW w:w="1367" w:type="pct"/>
            <w:gridSpan w:val="5"/>
            <w:tcBorders>
              <w:top w:val="single" w:sz="4" w:space="0" w:color="auto"/>
              <w:left w:val="nil"/>
              <w:bottom w:val="single" w:sz="4" w:space="0" w:color="auto"/>
              <w:right w:val="single" w:sz="4" w:space="0" w:color="000000"/>
            </w:tcBorders>
            <w:shd w:val="clear" w:color="000000" w:fill="757171"/>
            <w:noWrap/>
            <w:vAlign w:val="center"/>
            <w:hideMark/>
          </w:tcPr>
          <w:p w:rsidR="00431B9D" w:rsidRPr="00621BF1" w:rsidRDefault="00431B9D" w:rsidP="00ED0C53">
            <w:pPr>
              <w:spacing w:after="120"/>
              <w:jc w:val="center"/>
              <w:rPr>
                <w:b/>
                <w:bCs/>
                <w:color w:val="FFFFFF"/>
                <w:lang w:val="en-US"/>
              </w:rPr>
            </w:pPr>
            <w:r w:rsidRPr="00621BF1">
              <w:rPr>
                <w:rFonts w:cs="Arial"/>
                <w:b/>
                <w:bCs/>
                <w:color w:val="FFFFFF"/>
              </w:rPr>
              <w:t>Chronogramme</w:t>
            </w:r>
          </w:p>
        </w:tc>
      </w:tr>
      <w:tr w:rsidR="00431B9D" w:rsidRPr="00621BF1" w:rsidTr="00ED0C53">
        <w:trPr>
          <w:trHeight w:val="345"/>
          <w:tblHeader/>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b/>
                <w:bCs/>
                <w:color w:val="FFFFFF"/>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b/>
                <w:bCs/>
                <w:color w:val="FFFFFF"/>
                <w:lang w:val="en-US"/>
              </w:rPr>
            </w:pPr>
          </w:p>
        </w:tc>
        <w:tc>
          <w:tcPr>
            <w:tcW w:w="1608"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b/>
                <w:bCs/>
                <w:color w:val="FFFFFF"/>
                <w:lang w:val="en-US"/>
              </w:rPr>
            </w:pPr>
          </w:p>
        </w:tc>
        <w:tc>
          <w:tcPr>
            <w:tcW w:w="579"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b/>
                <w:bCs/>
                <w:color w:val="FFFFFF"/>
                <w:lang w:val="en-US"/>
              </w:rPr>
            </w:pPr>
          </w:p>
        </w:tc>
        <w:tc>
          <w:tcPr>
            <w:tcW w:w="321" w:type="pct"/>
            <w:tcBorders>
              <w:top w:val="nil"/>
              <w:left w:val="nil"/>
              <w:bottom w:val="single" w:sz="4" w:space="0" w:color="auto"/>
              <w:right w:val="single" w:sz="4" w:space="0" w:color="auto"/>
            </w:tcBorders>
            <w:shd w:val="clear" w:color="000000" w:fill="757171"/>
            <w:vAlign w:val="center"/>
            <w:hideMark/>
          </w:tcPr>
          <w:p w:rsidR="00431B9D" w:rsidRPr="00621BF1" w:rsidRDefault="00431B9D" w:rsidP="00ED0C53">
            <w:pPr>
              <w:spacing w:after="120"/>
              <w:jc w:val="center"/>
              <w:rPr>
                <w:b/>
                <w:bCs/>
                <w:color w:val="FFFFFF"/>
                <w:lang w:val="en-US"/>
              </w:rPr>
            </w:pPr>
            <w:r w:rsidRPr="00621BF1">
              <w:rPr>
                <w:b/>
                <w:bCs/>
                <w:color w:val="FFFFFF"/>
              </w:rPr>
              <w:t>2016</w:t>
            </w:r>
          </w:p>
        </w:tc>
        <w:tc>
          <w:tcPr>
            <w:tcW w:w="258" w:type="pct"/>
            <w:tcBorders>
              <w:top w:val="nil"/>
              <w:left w:val="nil"/>
              <w:bottom w:val="single" w:sz="4" w:space="0" w:color="auto"/>
              <w:right w:val="single" w:sz="4" w:space="0" w:color="auto"/>
            </w:tcBorders>
            <w:shd w:val="clear" w:color="000000" w:fill="757171"/>
            <w:vAlign w:val="center"/>
            <w:hideMark/>
          </w:tcPr>
          <w:p w:rsidR="00431B9D" w:rsidRPr="00621BF1" w:rsidRDefault="00431B9D" w:rsidP="00ED0C53">
            <w:pPr>
              <w:spacing w:after="120"/>
              <w:jc w:val="center"/>
              <w:rPr>
                <w:b/>
                <w:bCs/>
                <w:color w:val="FFFFFF"/>
                <w:lang w:val="en-US"/>
              </w:rPr>
            </w:pPr>
            <w:r w:rsidRPr="00621BF1">
              <w:rPr>
                <w:b/>
                <w:bCs/>
                <w:color w:val="FFFFFF"/>
              </w:rPr>
              <w:t>2017</w:t>
            </w:r>
          </w:p>
        </w:tc>
        <w:tc>
          <w:tcPr>
            <w:tcW w:w="258" w:type="pct"/>
            <w:tcBorders>
              <w:top w:val="nil"/>
              <w:left w:val="nil"/>
              <w:bottom w:val="single" w:sz="4" w:space="0" w:color="auto"/>
              <w:right w:val="single" w:sz="4" w:space="0" w:color="auto"/>
            </w:tcBorders>
            <w:shd w:val="clear" w:color="000000" w:fill="757171"/>
            <w:vAlign w:val="center"/>
            <w:hideMark/>
          </w:tcPr>
          <w:p w:rsidR="00431B9D" w:rsidRPr="00621BF1" w:rsidRDefault="00431B9D" w:rsidP="00ED0C53">
            <w:pPr>
              <w:spacing w:after="120"/>
              <w:jc w:val="center"/>
              <w:rPr>
                <w:b/>
                <w:bCs/>
                <w:color w:val="FFFFFF"/>
                <w:lang w:val="en-US"/>
              </w:rPr>
            </w:pPr>
            <w:r w:rsidRPr="00621BF1">
              <w:rPr>
                <w:b/>
                <w:bCs/>
                <w:color w:val="FFFFFF"/>
              </w:rPr>
              <w:t>2018</w:t>
            </w:r>
          </w:p>
        </w:tc>
        <w:tc>
          <w:tcPr>
            <w:tcW w:w="256" w:type="pct"/>
            <w:tcBorders>
              <w:top w:val="nil"/>
              <w:left w:val="nil"/>
              <w:bottom w:val="single" w:sz="4" w:space="0" w:color="auto"/>
              <w:right w:val="single" w:sz="4" w:space="0" w:color="auto"/>
            </w:tcBorders>
            <w:shd w:val="clear" w:color="000000" w:fill="757171"/>
            <w:vAlign w:val="center"/>
            <w:hideMark/>
          </w:tcPr>
          <w:p w:rsidR="00431B9D" w:rsidRPr="00621BF1" w:rsidRDefault="00431B9D" w:rsidP="00ED0C53">
            <w:pPr>
              <w:spacing w:after="120"/>
              <w:jc w:val="center"/>
              <w:rPr>
                <w:b/>
                <w:bCs/>
                <w:color w:val="FFFFFF"/>
                <w:lang w:val="en-US"/>
              </w:rPr>
            </w:pPr>
            <w:r w:rsidRPr="00621BF1">
              <w:rPr>
                <w:b/>
                <w:bCs/>
                <w:color w:val="FFFFFF"/>
              </w:rPr>
              <w:t>2019</w:t>
            </w:r>
          </w:p>
        </w:tc>
        <w:tc>
          <w:tcPr>
            <w:tcW w:w="274" w:type="pct"/>
            <w:tcBorders>
              <w:top w:val="nil"/>
              <w:left w:val="nil"/>
              <w:bottom w:val="single" w:sz="4" w:space="0" w:color="auto"/>
              <w:right w:val="single" w:sz="4" w:space="0" w:color="auto"/>
            </w:tcBorders>
            <w:shd w:val="clear" w:color="000000" w:fill="757171"/>
            <w:vAlign w:val="center"/>
            <w:hideMark/>
          </w:tcPr>
          <w:p w:rsidR="00431B9D" w:rsidRPr="00621BF1" w:rsidRDefault="00431B9D" w:rsidP="00ED0C53">
            <w:pPr>
              <w:spacing w:after="120"/>
              <w:jc w:val="center"/>
              <w:rPr>
                <w:b/>
                <w:bCs/>
                <w:color w:val="FFFFFF"/>
                <w:lang w:val="en-US"/>
              </w:rPr>
            </w:pPr>
            <w:r w:rsidRPr="00621BF1">
              <w:rPr>
                <w:b/>
                <w:bCs/>
                <w:color w:val="FFFFFF"/>
              </w:rPr>
              <w:t>2020</w:t>
            </w:r>
          </w:p>
        </w:tc>
      </w:tr>
      <w:tr w:rsidR="00431B9D" w:rsidRPr="00621BF1" w:rsidTr="00ED0C53">
        <w:trPr>
          <w:trHeight w:val="1035"/>
        </w:trPr>
        <w:tc>
          <w:tcPr>
            <w:tcW w:w="802" w:type="pct"/>
            <w:vMerge w:val="restart"/>
            <w:tcBorders>
              <w:top w:val="nil"/>
              <w:left w:val="single" w:sz="4" w:space="0" w:color="auto"/>
              <w:bottom w:val="single" w:sz="4" w:space="0" w:color="000000"/>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D'ici fin 2018, atteindre les indicateurs de surveillance des PFA dans le cadre de l'éradication de la poliomyélite</w:t>
            </w:r>
          </w:p>
        </w:tc>
        <w:tc>
          <w:tcPr>
            <w:tcW w:w="644" w:type="pct"/>
            <w:vMerge w:val="restart"/>
            <w:tcBorders>
              <w:top w:val="nil"/>
              <w:left w:val="single" w:sz="4" w:space="0" w:color="auto"/>
              <w:bottom w:val="single" w:sz="4" w:space="0" w:color="000000"/>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Renforcement de la surveillance des PFA</w:t>
            </w: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Recenser les  agents communautaires et les </w:t>
            </w:r>
            <w:proofErr w:type="spellStart"/>
            <w:r w:rsidRPr="00621BF1">
              <w:rPr>
                <w:rFonts w:cs="Arial"/>
                <w:color w:val="000000"/>
              </w:rPr>
              <w:t>tradi</w:t>
            </w:r>
            <w:proofErr w:type="spellEnd"/>
            <w:r w:rsidR="00ED0210" w:rsidRPr="00621BF1">
              <w:rPr>
                <w:rFonts w:cs="Arial"/>
                <w:color w:val="000000"/>
              </w:rPr>
              <w:t>-</w:t>
            </w:r>
            <w:r w:rsidRPr="00621BF1">
              <w:rPr>
                <w:rFonts w:cs="Arial"/>
                <w:color w:val="000000"/>
              </w:rPr>
              <w:t xml:space="preserve">praticiens pour leur implication dans la recherche active des cas de PFA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Former 6000 agen</w:t>
            </w:r>
            <w:r w:rsidR="00ED0210" w:rsidRPr="00621BF1">
              <w:rPr>
                <w:rFonts w:cs="Arial"/>
                <w:color w:val="000000"/>
              </w:rPr>
              <w:t xml:space="preserve">ts communautaires et 2000 </w:t>
            </w:r>
            <w:proofErr w:type="spellStart"/>
            <w:r w:rsidR="00ED0210" w:rsidRPr="00621BF1">
              <w:rPr>
                <w:rFonts w:cs="Arial"/>
                <w:color w:val="000000"/>
              </w:rPr>
              <w:t>tradi</w:t>
            </w:r>
            <w:proofErr w:type="spellEnd"/>
            <w:r w:rsidR="00ED0210" w:rsidRPr="00621BF1">
              <w:rPr>
                <w:rFonts w:cs="Arial"/>
                <w:color w:val="000000"/>
              </w:rPr>
              <w:t>-</w:t>
            </w:r>
            <w:r w:rsidRPr="00621BF1">
              <w:rPr>
                <w:rFonts w:cs="Arial"/>
                <w:color w:val="000000"/>
              </w:rPr>
              <w:t xml:space="preserve">praticiens pour  la recherche active des cas de PFA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Doter les 6000 agents communautaires et les 2000 </w:t>
            </w:r>
            <w:proofErr w:type="spellStart"/>
            <w:r w:rsidR="00ED0210" w:rsidRPr="00621BF1">
              <w:rPr>
                <w:rFonts w:cs="Arial"/>
                <w:color w:val="000000"/>
              </w:rPr>
              <w:t>tradi</w:t>
            </w:r>
            <w:proofErr w:type="spellEnd"/>
            <w:r w:rsidR="00ED0210" w:rsidRPr="00621BF1">
              <w:rPr>
                <w:rFonts w:cs="Arial"/>
                <w:color w:val="000000"/>
              </w:rPr>
              <w:t>-</w:t>
            </w:r>
            <w:r w:rsidRPr="00621BF1">
              <w:rPr>
                <w:rFonts w:cs="Arial"/>
                <w:color w:val="000000"/>
              </w:rPr>
              <w:t>praticiens en outils de collecte et de remontée des données de surveillance communautaire des PFA</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Former 578 points focaux des Centres de santé et des hôpitaux sur la surveillance active des PFA</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rFonts w:cs="Arial"/>
                <w:color w:val="8497B0"/>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rFonts w:cs="Arial"/>
                <w:color w:val="8497B0"/>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rFonts w:cs="Arial"/>
                <w:color w:val="000000"/>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rFonts w:cs="Arial"/>
                <w:color w:val="000000"/>
              </w:rPr>
              <w:t> </w:t>
            </w:r>
          </w:p>
        </w:tc>
      </w:tr>
      <w:tr w:rsidR="00431B9D" w:rsidRPr="00621BF1" w:rsidTr="00ED0C53">
        <w:trPr>
          <w:trHeight w:val="138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Assurer la motivation des agents communaut</w:t>
            </w:r>
            <w:r w:rsidR="00ED0210" w:rsidRPr="00621BF1">
              <w:rPr>
                <w:rFonts w:cs="Arial"/>
                <w:color w:val="000000"/>
              </w:rPr>
              <w:t xml:space="preserve">aires, agents de santé et </w:t>
            </w:r>
            <w:proofErr w:type="spellStart"/>
            <w:r w:rsidR="00ED0210" w:rsidRPr="00621BF1">
              <w:rPr>
                <w:rFonts w:cs="Arial"/>
                <w:color w:val="000000"/>
              </w:rPr>
              <w:t>tradi</w:t>
            </w:r>
            <w:proofErr w:type="spellEnd"/>
            <w:r w:rsidR="00ED0210" w:rsidRPr="00621BF1">
              <w:rPr>
                <w:rFonts w:cs="Arial"/>
                <w:color w:val="000000"/>
              </w:rPr>
              <w:t>-</w:t>
            </w:r>
            <w:r w:rsidRPr="00621BF1">
              <w:rPr>
                <w:rFonts w:cs="Arial"/>
                <w:color w:val="000000"/>
              </w:rPr>
              <w:t>praticiens impliques dans la surveillance des maladies cibles du PEV (en raison de 5$ par cas notifie)</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Assurer la supervision des activités de surveillance communautaires des maladies cibles du PEV</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Organiser les revues trimestrielles et annuelles de la surveillance communautaires</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Doter les structures sanitaires de 7500 (1500 par an) formulaires de notification  et  de 5000 affiches de définition des cas recommande</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Doter les structures sanitaires de 7500 (1500 par an) kits de prélèvements des PFA</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Doter les structures sanitaires de 7500 (1500 par an) kits de transport d'échantillon des PFA</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174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Réaliser les visites de recherche active des PFA dans les différents sites prioritaires par les points focaux des centres de </w:t>
            </w:r>
            <w:r w:rsidR="00ED0210" w:rsidRPr="00621BF1">
              <w:rPr>
                <w:rFonts w:cs="Arial"/>
                <w:color w:val="000000"/>
              </w:rPr>
              <w:t>santé</w:t>
            </w:r>
            <w:r w:rsidRPr="00621BF1">
              <w:rPr>
                <w:rFonts w:cs="Arial"/>
                <w:color w:val="000000"/>
              </w:rPr>
              <w:t xml:space="preserve"> selon le calendrier défini :</w:t>
            </w:r>
            <w:r w:rsidRPr="00621BF1">
              <w:rPr>
                <w:rFonts w:cs="Arial"/>
                <w:color w:val="000000"/>
              </w:rPr>
              <w:br/>
              <w:t>-1 visite par semaine pour les sites de priorité numéro 1</w:t>
            </w:r>
            <w:r w:rsidRPr="00621BF1">
              <w:rPr>
                <w:rFonts w:cs="Arial"/>
                <w:color w:val="000000"/>
              </w:rPr>
              <w:br/>
              <w:t>-2 visites par mois pour les sites de priorité numéro 2</w:t>
            </w:r>
            <w:r w:rsidRPr="00621BF1">
              <w:rPr>
                <w:rFonts w:cs="Arial"/>
                <w:color w:val="000000"/>
              </w:rPr>
              <w:br/>
              <w:t>-1 visite par mois pour les sites de priorité numéro 3</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rFonts w:cs="Arial"/>
                <w:color w:val="8497B0"/>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rFonts w:cs="Arial"/>
                <w:color w:val="8497B0"/>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rFonts w:cs="Arial"/>
                <w:color w:val="8497B0"/>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rFonts w:cs="Arial"/>
                <w:color w:val="8497B0"/>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rFonts w:cs="Arial"/>
                <w:color w:val="8497B0"/>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Organiser 3 missions par an d'examens de suivi entre le 60eme et 80eme jour de tous les cas de PFA inadéquats par les 38 points focaux de districts</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Organiser 3 missions d’examens par an des cas de PFA inadéquats présentant la paralysie résiduelle après le 60eme jour par CNEP</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 xml:space="preserve">Organiser une mission de 10 jours par mois des 38 points focaux des districts et des 8 points focaux régionaux de surveillance dans les sites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849"/>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 xml:space="preserve">Organiser 4 missions trimestrielles de 10 jours par mission  sur la surveillance des PFA du niveau central vers les districts et les régions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984"/>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Organiser un monitorage mensuel de suivi et d'action de 2 jours dans les 38 districts sur les activités de surveillance des PFA (ECD, CCS et partenaires…)</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Organiser un monitorage chaque deux mois de suivi et d'action de 2 jours dans les 8 régions sur les activités de surveillance des PFA (ECD, ECR, partenaires…)</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210">
        <w:trPr>
          <w:trHeight w:val="701"/>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Organiser un monitorage trimestriel de suivi et d'action de 5 jours au niveau national sur les activités de surveillance des PFA (DRS, DPS, MCM, Directeurs nationaux, programmes, points focaux et partenaires…)</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138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 xml:space="preserve">Organiser un monitorage mensuel de suivi et d'action de 2 jours des agents communautaires et les </w:t>
            </w:r>
            <w:proofErr w:type="spellStart"/>
            <w:r w:rsidRPr="00621BF1">
              <w:rPr>
                <w:color w:val="000000"/>
              </w:rPr>
              <w:t>tradi</w:t>
            </w:r>
            <w:proofErr w:type="spellEnd"/>
            <w:r w:rsidRPr="00621BF1">
              <w:rPr>
                <w:color w:val="000000"/>
              </w:rPr>
              <w:t xml:space="preserve"> praticiens dans 500 formations sanitaires de base sur les activités de surveillance des PFA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Recycler  les 6000 agents communautaires et les  2000 </w:t>
            </w:r>
            <w:proofErr w:type="spellStart"/>
            <w:r w:rsidRPr="00621BF1">
              <w:rPr>
                <w:rFonts w:cs="Arial"/>
                <w:color w:val="000000"/>
              </w:rPr>
              <w:t>tradi</w:t>
            </w:r>
            <w:proofErr w:type="spellEnd"/>
            <w:r w:rsidRPr="00621BF1">
              <w:rPr>
                <w:rFonts w:cs="Arial"/>
                <w:color w:val="000000"/>
              </w:rPr>
              <w:t xml:space="preserve"> praticiens impliqués dans la recherche active des cas de PFA</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rPr>
            </w:pPr>
            <w:r w:rsidRPr="00621BF1">
              <w:rPr>
                <w:rFonts w:cs="Arial"/>
                <w:color w:val="00000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rPr>
            </w:pPr>
            <w:r w:rsidRPr="00621BF1">
              <w:rPr>
                <w:rFonts w:cs="Arial"/>
                <w:color w:val="000000"/>
              </w:rPr>
              <w:t> </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Réaliser 2 enquêtes par an sur la qualité et l'efficacité de la surveillance des PFA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Organiser 4 réunions trimestrielles par an des 3 comités nationaux de certification de la Polio (Comité national, comité des experts, groupe spécial de confinement)</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912"/>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Actualiser et diffuser  les directives de surveillance des maladies cibles du PEV y compris la gestion des échantillons</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34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Prélever et investiguer tout cas de PFA</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210">
        <w:trPr>
          <w:trHeight w:val="881"/>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 xml:space="preserve">Elaborer  et mettre en œuvre le plan national de surveillance transfrontalière des maladies cibles du PEV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r>
      <w:tr w:rsidR="00431B9D" w:rsidRPr="00621BF1" w:rsidTr="00ED0C53">
        <w:trPr>
          <w:trHeight w:val="966"/>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Elaborer  et mettre en œuvre un plan de transmission des acquis de l’Initiative pour l’éradication de la poliomyélite</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r>
      <w:tr w:rsidR="00431B9D" w:rsidRPr="00621BF1" w:rsidTr="00ED0C53">
        <w:trPr>
          <w:trHeight w:val="462"/>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color w:val="000000"/>
              </w:rPr>
              <w:t>Elaborer  et mettre en œuvre le plan de surveillance environnementale de la poliomyélite</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rPr>
                <w:color w:val="000000"/>
                <w:lang w:val="en-US"/>
              </w:rPr>
            </w:pPr>
            <w:r w:rsidRPr="00621BF1">
              <w:rPr>
                <w:color w:val="000000"/>
                <w:lang w:val="en-US"/>
              </w:rPr>
              <w:t> </w:t>
            </w:r>
          </w:p>
        </w:tc>
      </w:tr>
      <w:tr w:rsidR="00431B9D" w:rsidRPr="00621BF1" w:rsidTr="00ED0C53">
        <w:trPr>
          <w:trHeight w:val="1173"/>
        </w:trPr>
        <w:tc>
          <w:tcPr>
            <w:tcW w:w="802" w:type="pct"/>
            <w:vMerge w:val="restart"/>
            <w:tcBorders>
              <w:top w:val="nil"/>
              <w:left w:val="single" w:sz="4" w:space="0" w:color="auto"/>
              <w:bottom w:val="single" w:sz="4" w:space="0" w:color="000000"/>
              <w:right w:val="single" w:sz="4" w:space="0" w:color="auto"/>
            </w:tcBorders>
            <w:shd w:val="clear" w:color="auto" w:fill="auto"/>
            <w:vAlign w:val="center"/>
            <w:hideMark/>
          </w:tcPr>
          <w:p w:rsidR="00431B9D" w:rsidRPr="00621BF1" w:rsidRDefault="00431B9D" w:rsidP="00ED0C53">
            <w:pPr>
              <w:spacing w:after="120"/>
              <w:jc w:val="center"/>
              <w:rPr>
                <w:color w:val="000000"/>
              </w:rPr>
            </w:pPr>
            <w:r w:rsidRPr="00621BF1">
              <w:rPr>
                <w:rFonts w:cs="Arial"/>
                <w:color w:val="000000"/>
              </w:rPr>
              <w:t>D’ici fin 2020, atteindre les indicateurs de la surveillance de la rougeole, de la fièvre jaune, de la méningite, de la coqueluche et de l’élimination du TMN</w:t>
            </w:r>
          </w:p>
        </w:tc>
        <w:tc>
          <w:tcPr>
            <w:tcW w:w="644" w:type="pct"/>
            <w:vMerge w:val="restart"/>
            <w:tcBorders>
              <w:top w:val="nil"/>
              <w:left w:val="single" w:sz="4" w:space="0" w:color="auto"/>
              <w:bottom w:val="single" w:sz="4" w:space="0" w:color="000000"/>
              <w:right w:val="single" w:sz="4" w:space="0" w:color="auto"/>
            </w:tcBorders>
            <w:shd w:val="clear" w:color="auto" w:fill="auto"/>
            <w:vAlign w:val="center"/>
            <w:hideMark/>
          </w:tcPr>
          <w:p w:rsidR="00431B9D" w:rsidRPr="00621BF1" w:rsidRDefault="00431B9D" w:rsidP="00ED0C53">
            <w:pPr>
              <w:spacing w:after="120"/>
              <w:jc w:val="center"/>
              <w:rPr>
                <w:color w:val="000000"/>
              </w:rPr>
            </w:pPr>
            <w:r w:rsidRPr="00621BF1">
              <w:rPr>
                <w:rFonts w:cs="Arial"/>
                <w:color w:val="000000"/>
              </w:rPr>
              <w:t>Renforcement  de la surveillance des maladies cibles du PEV (Rougeole, FJ, méningite, TMN, Coqueluche)</w:t>
            </w: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Doter les  38 districts sanitaires en formulaires de notification des cas suspects de rougeole (1750), de fièvre jaune (1750), de méningite (500), de  coqueluche (100) et de TMN (300)</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Doter les  38 districts sanitaires en kits de prélèvement des cas suspects de rougeole (1750), de fièvre jaune (1750), de méningite (500) et de  coqueluche (100)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993"/>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Doter les  38 districts sanitaires de 380 kits de transport des échantillons de rougeole de fièvre jaune, de méningite et de  coqueluche (10 par districts sanitaires)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26414">
        <w:trPr>
          <w:trHeight w:val="692"/>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Doter le système de surveillance en matériel de communication </w:t>
            </w:r>
            <w:r w:rsidR="00ED0210" w:rsidRPr="00621BF1">
              <w:rPr>
                <w:rFonts w:cs="Arial"/>
                <w:color w:val="000000"/>
              </w:rPr>
              <w:t>à</w:t>
            </w:r>
            <w:r w:rsidRPr="00621BF1">
              <w:rPr>
                <w:rFonts w:cs="Arial"/>
                <w:color w:val="000000"/>
              </w:rPr>
              <w:t xml:space="preserve"> tous les niveaux (500 Flottes téléphoniques aux CS),  (38 Flottes téléphoniques et 38 clés internet aux DPS), (8 Flottes téléphoniques et 8 clés internet aux DRS) et (10 Flottes téléphoniques et 10 clés internet au niveau </w:t>
            </w:r>
            <w:r w:rsidRPr="00621BF1">
              <w:rPr>
                <w:rFonts w:cs="Arial"/>
                <w:color w:val="000000"/>
              </w:rPr>
              <w:lastRenderedPageBreak/>
              <w:t>central)</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lastRenderedPageBreak/>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Elaborer et diffuser les directives nationales de la surveillance communautaire des maladies cibles du PEV</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Elaborer les rapports annuels d’activités de surveillance (PFA et autres maladies cibles du PEV)</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Elaborer et diffuser le bulletin trimestriel national et le bulletin bimestriel régional sur la surveillance des maladies cibles du PEV</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Organiser des sessions de formation de 10 000 agents de santé sur les directives de surveillance des maladies évitables par la vaccination</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939"/>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Organiser 4 réunions trimestrielles de concertation et d’harmonisation sur la surveillance avec les différents acteurs (Labo, points focaux, PEV, DPLM, le SINGS et partenaires)</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Investiguer et organiser la riposte de  20 cas TMN par an</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93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jc w:val="both"/>
              <w:rPr>
                <w:color w:val="000000"/>
              </w:rPr>
            </w:pPr>
            <w:r w:rsidRPr="00621BF1">
              <w:rPr>
                <w:color w:val="000000"/>
              </w:rPr>
              <w:t>Organiser des visites de recherche active des cas suspects de fièvre jaune, de méningite, de rougeole et de coqueluche</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jc w:val="both"/>
              <w:rPr>
                <w:color w:val="000000"/>
              </w:rPr>
            </w:pPr>
            <w:r w:rsidRPr="00621BF1">
              <w:rPr>
                <w:color w:val="000000"/>
              </w:rPr>
              <w:t>Investiguer tous les cas suspects de fièvre jaune, de méningite, de rougeole et de coqueluche</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966"/>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jc w:val="both"/>
              <w:rPr>
                <w:color w:val="000000"/>
              </w:rPr>
            </w:pPr>
            <w:r w:rsidRPr="00621BF1">
              <w:rPr>
                <w:color w:val="000000"/>
              </w:rPr>
              <w:t xml:space="preserve">Assurer 1000 missions d'expédition par an des échantillons des PFA et des cas suspects de fièvre jaune, de méningite, de rougeole et de coqueluche vers le niveau central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26414">
        <w:trPr>
          <w:trHeight w:val="1358"/>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Renforcement des capacités  des laboratoires pour la confirmation</w:t>
            </w: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Doter les laboratoires (National de référence, et des fièvres hémorragiques  de </w:t>
            </w:r>
            <w:proofErr w:type="spellStart"/>
            <w:r w:rsidRPr="00621BF1">
              <w:rPr>
                <w:rFonts w:cs="Arial"/>
                <w:color w:val="000000"/>
              </w:rPr>
              <w:t>Donka</w:t>
            </w:r>
            <w:proofErr w:type="spellEnd"/>
            <w:r w:rsidRPr="00621BF1">
              <w:rPr>
                <w:rFonts w:cs="Arial"/>
                <w:color w:val="000000"/>
              </w:rPr>
              <w:t xml:space="preserve">) en matériels et réactifs de confirmation. </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690"/>
        </w:trPr>
        <w:tc>
          <w:tcPr>
            <w:tcW w:w="802" w:type="pct"/>
            <w:vMerge w:val="restart"/>
            <w:tcBorders>
              <w:top w:val="nil"/>
              <w:left w:val="single" w:sz="4" w:space="0" w:color="auto"/>
              <w:bottom w:val="single" w:sz="4" w:space="0" w:color="000000"/>
              <w:right w:val="single" w:sz="4" w:space="0" w:color="auto"/>
            </w:tcBorders>
            <w:shd w:val="clear" w:color="auto" w:fill="auto"/>
            <w:vAlign w:val="center"/>
            <w:hideMark/>
          </w:tcPr>
          <w:p w:rsidR="00431B9D" w:rsidRPr="00621BF1" w:rsidRDefault="00431B9D" w:rsidP="00ED0C53">
            <w:pPr>
              <w:spacing w:after="120"/>
              <w:jc w:val="center"/>
              <w:rPr>
                <w:color w:val="000000"/>
              </w:rPr>
            </w:pPr>
            <w:r w:rsidRPr="00621BF1">
              <w:rPr>
                <w:rFonts w:cs="Arial"/>
                <w:color w:val="000000"/>
              </w:rPr>
              <w:t>D’ici fin juillet 2016, atteindre au moins 20% des structures sanitaires qui notifient et rapportent les données sur les  MAPI</w:t>
            </w:r>
          </w:p>
        </w:tc>
        <w:tc>
          <w:tcPr>
            <w:tcW w:w="644" w:type="pct"/>
            <w:vMerge w:val="restart"/>
            <w:tcBorders>
              <w:top w:val="nil"/>
              <w:left w:val="single" w:sz="4" w:space="0" w:color="auto"/>
              <w:bottom w:val="single" w:sz="4" w:space="0" w:color="000000"/>
              <w:right w:val="single" w:sz="4" w:space="0" w:color="auto"/>
            </w:tcBorders>
            <w:shd w:val="clear" w:color="auto" w:fill="auto"/>
            <w:vAlign w:val="center"/>
            <w:hideMark/>
          </w:tcPr>
          <w:p w:rsidR="00431B9D" w:rsidRPr="00621BF1" w:rsidRDefault="00431B9D" w:rsidP="00ED0C53">
            <w:pPr>
              <w:spacing w:after="120"/>
              <w:jc w:val="center"/>
              <w:rPr>
                <w:color w:val="000000"/>
              </w:rPr>
            </w:pPr>
            <w:r w:rsidRPr="00621BF1">
              <w:rPr>
                <w:rFonts w:cs="Arial"/>
                <w:color w:val="000000"/>
              </w:rPr>
              <w:t xml:space="preserve">Renforcement du mécanisme de suivi de notification des MAPI </w:t>
            </w: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Désigner les membres du Comité de Pilotage de gestion des MAPI</w:t>
            </w:r>
          </w:p>
        </w:tc>
        <w:tc>
          <w:tcPr>
            <w:tcW w:w="579"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Former 120 personnels de 12 hôpitaux régionaux et nationaux sur la gestion des MAPI graves</w:t>
            </w:r>
          </w:p>
        </w:tc>
        <w:tc>
          <w:tcPr>
            <w:tcW w:w="579"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Former 78 agents de santé des HP (3 par hôpital) et  1000 agents de santé des CS MAPI (grave et non grave)</w:t>
            </w:r>
          </w:p>
        </w:tc>
        <w:tc>
          <w:tcPr>
            <w:tcW w:w="579"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Organiser l’investigation des cas suspects de MAPI graves par le point focal régional</w:t>
            </w:r>
          </w:p>
        </w:tc>
        <w:tc>
          <w:tcPr>
            <w:tcW w:w="579"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Organiser 4 missions de supervision de 5 jours par an sur la notification  des MAPI par les points focaux régionaux </w:t>
            </w:r>
          </w:p>
        </w:tc>
        <w:tc>
          <w:tcPr>
            <w:tcW w:w="579"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Organiser 2 missions de supervision de 10 jours par an sur la notification  des MAPI par le niveau central </w:t>
            </w:r>
          </w:p>
        </w:tc>
        <w:tc>
          <w:tcPr>
            <w:tcW w:w="579"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Mettre en place un centre national de pilotage de la gestion des MAPI </w:t>
            </w:r>
          </w:p>
        </w:tc>
        <w:tc>
          <w:tcPr>
            <w:tcW w:w="579"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6"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74"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r>
      <w:tr w:rsidR="00431B9D" w:rsidRPr="00621BF1" w:rsidTr="00ED0C53">
        <w:trPr>
          <w:trHeight w:val="103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xml:space="preserve">Organiser deux missions de supervision de 2 jours par mois sur la notification  des MAPI dans les formations sanitaires par les points focaux de districts </w:t>
            </w:r>
          </w:p>
        </w:tc>
        <w:tc>
          <w:tcPr>
            <w:tcW w:w="579"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690"/>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Organiser les sessions trimestrielles de classification des MAPI</w:t>
            </w:r>
          </w:p>
        </w:tc>
        <w:tc>
          <w:tcPr>
            <w:tcW w:w="579"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r w:rsidR="00431B9D" w:rsidRPr="00621BF1" w:rsidTr="00ED0C53">
        <w:trPr>
          <w:trHeight w:val="345"/>
        </w:trPr>
        <w:tc>
          <w:tcPr>
            <w:tcW w:w="802"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431B9D" w:rsidRPr="00621BF1" w:rsidRDefault="00431B9D" w:rsidP="00ED0C53">
            <w:pPr>
              <w:spacing w:after="120"/>
              <w:rPr>
                <w:color w:val="000000"/>
                <w:lang w:val="en-US"/>
              </w:rPr>
            </w:pPr>
          </w:p>
        </w:tc>
        <w:tc>
          <w:tcPr>
            <w:tcW w:w="1608" w:type="pct"/>
            <w:tcBorders>
              <w:top w:val="nil"/>
              <w:left w:val="nil"/>
              <w:bottom w:val="single" w:sz="4" w:space="0" w:color="auto"/>
              <w:right w:val="single" w:sz="4" w:space="0" w:color="auto"/>
            </w:tcBorders>
            <w:shd w:val="clear" w:color="auto" w:fill="auto"/>
            <w:vAlign w:val="center"/>
            <w:hideMark/>
          </w:tcPr>
          <w:p w:rsidR="00431B9D" w:rsidRPr="00621BF1" w:rsidRDefault="00431B9D" w:rsidP="00ED0C53">
            <w:pPr>
              <w:spacing w:after="120"/>
              <w:rPr>
                <w:color w:val="000000"/>
              </w:rPr>
            </w:pPr>
            <w:r w:rsidRPr="00621BF1">
              <w:rPr>
                <w:rFonts w:cs="Arial"/>
                <w:color w:val="000000"/>
              </w:rPr>
              <w:t>Retro information à tous les niveaux sur la surveillance</w:t>
            </w:r>
          </w:p>
        </w:tc>
        <w:tc>
          <w:tcPr>
            <w:tcW w:w="579" w:type="pct"/>
            <w:tcBorders>
              <w:top w:val="nil"/>
              <w:left w:val="nil"/>
              <w:bottom w:val="single" w:sz="4" w:space="0" w:color="auto"/>
              <w:right w:val="single" w:sz="4" w:space="0" w:color="auto"/>
            </w:tcBorders>
            <w:shd w:val="clear" w:color="auto" w:fill="auto"/>
            <w:noWrap/>
            <w:vAlign w:val="center"/>
            <w:hideMark/>
          </w:tcPr>
          <w:p w:rsidR="00431B9D" w:rsidRPr="00621BF1" w:rsidRDefault="00431B9D" w:rsidP="00ED0C53">
            <w:pPr>
              <w:spacing w:after="120"/>
              <w:rPr>
                <w:color w:val="000000"/>
              </w:rPr>
            </w:pPr>
            <w:r w:rsidRPr="00621BF1">
              <w:rPr>
                <w:rFonts w:cs="Arial"/>
                <w:color w:val="000000"/>
              </w:rPr>
              <w:t> </w:t>
            </w:r>
          </w:p>
        </w:tc>
        <w:tc>
          <w:tcPr>
            <w:tcW w:w="321"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8" w:type="pct"/>
            <w:tcBorders>
              <w:top w:val="nil"/>
              <w:left w:val="nil"/>
              <w:bottom w:val="single" w:sz="4" w:space="0" w:color="auto"/>
              <w:right w:val="single" w:sz="4" w:space="0" w:color="auto"/>
            </w:tcBorders>
            <w:shd w:val="clear" w:color="000000" w:fill="FFFFFF"/>
            <w:noWrap/>
            <w:vAlign w:val="center"/>
            <w:hideMark/>
          </w:tcPr>
          <w:p w:rsidR="00431B9D" w:rsidRPr="00621BF1" w:rsidRDefault="00431B9D" w:rsidP="00ED0C53">
            <w:pPr>
              <w:spacing w:after="120"/>
              <w:jc w:val="center"/>
              <w:rPr>
                <w:color w:val="000000"/>
                <w:lang w:val="en-US"/>
              </w:rPr>
            </w:pPr>
            <w:r w:rsidRPr="00621BF1">
              <w:rPr>
                <w:color w:val="000000"/>
                <w:lang w:val="en-US"/>
              </w:rPr>
              <w:t> </w:t>
            </w:r>
          </w:p>
        </w:tc>
        <w:tc>
          <w:tcPr>
            <w:tcW w:w="258"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56"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c>
          <w:tcPr>
            <w:tcW w:w="274" w:type="pc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31B9D" w:rsidRPr="00621BF1" w:rsidRDefault="00431B9D" w:rsidP="00ED0C53">
            <w:pPr>
              <w:spacing w:after="120"/>
              <w:jc w:val="center"/>
              <w:rPr>
                <w:color w:val="8497B0"/>
                <w:lang w:val="en-US"/>
              </w:rPr>
            </w:pPr>
            <w:r w:rsidRPr="00621BF1">
              <w:rPr>
                <w:color w:val="8497B0"/>
                <w:lang w:val="en-US"/>
              </w:rPr>
              <w:t>x</w:t>
            </w:r>
          </w:p>
        </w:tc>
      </w:tr>
    </w:tbl>
    <w:p w:rsidR="00431B9D" w:rsidRPr="00621BF1" w:rsidRDefault="00431B9D" w:rsidP="00431B9D">
      <w:pPr>
        <w:spacing w:after="120"/>
        <w:rPr>
          <w:lang w:val="fr-BE"/>
        </w:rPr>
      </w:pPr>
    </w:p>
    <w:p w:rsidR="00431B9D" w:rsidRPr="00621BF1" w:rsidRDefault="00431B9D" w:rsidP="00431B9D">
      <w:pPr>
        <w:spacing w:after="120"/>
        <w:rPr>
          <w:lang w:val="fr-BE"/>
        </w:rPr>
      </w:pPr>
    </w:p>
    <w:tbl>
      <w:tblPr>
        <w:tblW w:w="14670" w:type="dxa"/>
        <w:tblInd w:w="-10" w:type="dxa"/>
        <w:tblLook w:val="04A0" w:firstRow="1" w:lastRow="0" w:firstColumn="1" w:lastColumn="0" w:noHBand="0" w:noVBand="1"/>
      </w:tblPr>
      <w:tblGrid>
        <w:gridCol w:w="2430"/>
        <w:gridCol w:w="1890"/>
        <w:gridCol w:w="4680"/>
        <w:gridCol w:w="1710"/>
        <w:gridCol w:w="900"/>
        <w:gridCol w:w="810"/>
        <w:gridCol w:w="810"/>
        <w:gridCol w:w="720"/>
        <w:gridCol w:w="720"/>
      </w:tblGrid>
      <w:tr w:rsidR="00202F67" w:rsidRPr="00621BF1" w:rsidTr="00C45960">
        <w:trPr>
          <w:trHeight w:val="315"/>
          <w:tblHeader/>
        </w:trPr>
        <w:tc>
          <w:tcPr>
            <w:tcW w:w="14670" w:type="dxa"/>
            <w:gridSpan w:val="9"/>
            <w:vMerge w:val="restart"/>
            <w:tcBorders>
              <w:top w:val="single" w:sz="8" w:space="0" w:color="auto"/>
              <w:left w:val="single" w:sz="8" w:space="0" w:color="auto"/>
              <w:bottom w:val="single" w:sz="8" w:space="0" w:color="000000"/>
              <w:right w:val="single" w:sz="8" w:space="0" w:color="000000"/>
            </w:tcBorders>
            <w:shd w:val="clear" w:color="000000" w:fill="C45911"/>
            <w:noWrap/>
            <w:vAlign w:val="center"/>
            <w:hideMark/>
          </w:tcPr>
          <w:p w:rsidR="00202F67" w:rsidRPr="00621BF1" w:rsidRDefault="00202F67" w:rsidP="00202F67">
            <w:pPr>
              <w:spacing w:after="0" w:line="240" w:lineRule="auto"/>
              <w:rPr>
                <w:rFonts w:eastAsia="Times New Roman" w:cs="Times New Roman"/>
                <w:b/>
                <w:bCs/>
                <w:color w:val="FFFFFF"/>
                <w:sz w:val="24"/>
              </w:rPr>
            </w:pPr>
            <w:r w:rsidRPr="00621BF1">
              <w:rPr>
                <w:rFonts w:eastAsia="Times New Roman" w:cs="Times New Roman"/>
                <w:b/>
                <w:bCs/>
                <w:color w:val="FFFFFF"/>
                <w:sz w:val="24"/>
              </w:rPr>
              <w:t>D. COMMUNICATION ET MOBILISATION SOCIALE</w:t>
            </w:r>
          </w:p>
        </w:tc>
      </w:tr>
      <w:tr w:rsidR="00202F67" w:rsidRPr="00621BF1" w:rsidTr="00C45960">
        <w:trPr>
          <w:trHeight w:val="435"/>
          <w:tblHeader/>
        </w:trPr>
        <w:tc>
          <w:tcPr>
            <w:tcW w:w="14670" w:type="dxa"/>
            <w:gridSpan w:val="9"/>
            <w:vMerge/>
            <w:tcBorders>
              <w:top w:val="single" w:sz="8" w:space="0" w:color="auto"/>
              <w:left w:val="single" w:sz="8" w:space="0" w:color="auto"/>
              <w:bottom w:val="single" w:sz="8" w:space="0" w:color="000000"/>
              <w:right w:val="single" w:sz="8" w:space="0" w:color="000000"/>
            </w:tcBorders>
            <w:vAlign w:val="center"/>
            <w:hideMark/>
          </w:tcPr>
          <w:p w:rsidR="00202F67" w:rsidRPr="00621BF1" w:rsidRDefault="00202F67" w:rsidP="00202F67">
            <w:pPr>
              <w:spacing w:after="0" w:line="240" w:lineRule="auto"/>
              <w:rPr>
                <w:rFonts w:eastAsia="Times New Roman" w:cs="Times New Roman"/>
                <w:b/>
                <w:bCs/>
                <w:color w:val="FFFFFF"/>
              </w:rPr>
            </w:pPr>
          </w:p>
        </w:tc>
      </w:tr>
      <w:tr w:rsidR="00C45960" w:rsidRPr="00621BF1" w:rsidTr="00C45960">
        <w:trPr>
          <w:trHeight w:val="360"/>
          <w:tblHeader/>
        </w:trPr>
        <w:tc>
          <w:tcPr>
            <w:tcW w:w="2430" w:type="dxa"/>
            <w:vMerge w:val="restart"/>
            <w:tcBorders>
              <w:top w:val="nil"/>
              <w:left w:val="single" w:sz="8" w:space="0" w:color="auto"/>
              <w:bottom w:val="single" w:sz="8" w:space="0" w:color="000000"/>
              <w:right w:val="single" w:sz="8" w:space="0" w:color="auto"/>
            </w:tcBorders>
            <w:shd w:val="clear" w:color="000000" w:fill="757171"/>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Arial"/>
                <w:b/>
                <w:bCs/>
                <w:color w:val="FFFFFF"/>
              </w:rPr>
              <w:t>Objectifs</w:t>
            </w:r>
          </w:p>
        </w:tc>
        <w:tc>
          <w:tcPr>
            <w:tcW w:w="1890" w:type="dxa"/>
            <w:vMerge w:val="restart"/>
            <w:tcBorders>
              <w:top w:val="nil"/>
              <w:left w:val="single" w:sz="8" w:space="0" w:color="auto"/>
              <w:bottom w:val="single" w:sz="8" w:space="0" w:color="000000"/>
              <w:right w:val="single" w:sz="8" w:space="0" w:color="auto"/>
            </w:tcBorders>
            <w:shd w:val="clear" w:color="000000" w:fill="757171"/>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Arial"/>
                <w:b/>
                <w:bCs/>
                <w:color w:val="FFFFFF"/>
              </w:rPr>
              <w:t>Stratégies</w:t>
            </w:r>
          </w:p>
        </w:tc>
        <w:tc>
          <w:tcPr>
            <w:tcW w:w="4680" w:type="dxa"/>
            <w:vMerge w:val="restart"/>
            <w:tcBorders>
              <w:top w:val="nil"/>
              <w:left w:val="single" w:sz="8" w:space="0" w:color="auto"/>
              <w:bottom w:val="single" w:sz="8" w:space="0" w:color="000000"/>
              <w:right w:val="single" w:sz="8" w:space="0" w:color="auto"/>
            </w:tcBorders>
            <w:shd w:val="clear" w:color="000000" w:fill="757171"/>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Arial"/>
                <w:b/>
                <w:bCs/>
                <w:color w:val="FFFFFF"/>
              </w:rPr>
              <w:t>Activités essentielles</w:t>
            </w:r>
          </w:p>
        </w:tc>
        <w:tc>
          <w:tcPr>
            <w:tcW w:w="1710" w:type="dxa"/>
            <w:vMerge w:val="restart"/>
            <w:tcBorders>
              <w:top w:val="nil"/>
              <w:left w:val="single" w:sz="8" w:space="0" w:color="auto"/>
              <w:bottom w:val="single" w:sz="8" w:space="0" w:color="000000"/>
              <w:right w:val="single" w:sz="8" w:space="0" w:color="auto"/>
            </w:tcBorders>
            <w:shd w:val="clear" w:color="000000" w:fill="757171"/>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Arial"/>
                <w:b/>
                <w:bCs/>
                <w:color w:val="FFFFFF"/>
              </w:rPr>
              <w:t>Responsables</w:t>
            </w:r>
          </w:p>
        </w:tc>
        <w:tc>
          <w:tcPr>
            <w:tcW w:w="3960" w:type="dxa"/>
            <w:gridSpan w:val="5"/>
            <w:tcBorders>
              <w:top w:val="single" w:sz="8" w:space="0" w:color="auto"/>
              <w:left w:val="nil"/>
              <w:bottom w:val="single" w:sz="8" w:space="0" w:color="auto"/>
              <w:right w:val="single" w:sz="8" w:space="0" w:color="000000"/>
            </w:tcBorders>
            <w:shd w:val="clear" w:color="000000" w:fill="757171"/>
            <w:noWrap/>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Arial"/>
                <w:b/>
                <w:bCs/>
                <w:color w:val="FFFFFF"/>
              </w:rPr>
              <w:t>Chronogramme</w:t>
            </w:r>
          </w:p>
        </w:tc>
      </w:tr>
      <w:tr w:rsidR="00C45960" w:rsidRPr="00621BF1" w:rsidTr="00C45960">
        <w:trPr>
          <w:trHeight w:val="360"/>
          <w:tblHeader/>
        </w:trPr>
        <w:tc>
          <w:tcPr>
            <w:tcW w:w="2430" w:type="dxa"/>
            <w:vMerge/>
            <w:tcBorders>
              <w:top w:val="nil"/>
              <w:left w:val="single" w:sz="8" w:space="0" w:color="auto"/>
              <w:bottom w:val="single" w:sz="8" w:space="0" w:color="000000"/>
              <w:right w:val="single" w:sz="8" w:space="0" w:color="auto"/>
            </w:tcBorders>
            <w:vAlign w:val="center"/>
            <w:hideMark/>
          </w:tcPr>
          <w:p w:rsidR="00202F67" w:rsidRPr="00621BF1" w:rsidRDefault="00202F67" w:rsidP="00202F67">
            <w:pPr>
              <w:spacing w:after="0" w:line="240" w:lineRule="auto"/>
              <w:rPr>
                <w:rFonts w:eastAsia="Times New Roman" w:cs="Times New Roman"/>
                <w:b/>
                <w:bCs/>
                <w:color w:val="FFFFFF"/>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621BF1" w:rsidRDefault="00202F67" w:rsidP="00202F67">
            <w:pPr>
              <w:spacing w:after="0" w:line="240" w:lineRule="auto"/>
              <w:rPr>
                <w:rFonts w:eastAsia="Times New Roman" w:cs="Times New Roman"/>
                <w:b/>
                <w:bCs/>
                <w:color w:val="FFFFFF"/>
                <w:lang w:val="en-US"/>
              </w:rPr>
            </w:pPr>
          </w:p>
        </w:tc>
        <w:tc>
          <w:tcPr>
            <w:tcW w:w="4680" w:type="dxa"/>
            <w:vMerge/>
            <w:tcBorders>
              <w:top w:val="nil"/>
              <w:left w:val="single" w:sz="8" w:space="0" w:color="auto"/>
              <w:bottom w:val="single" w:sz="8" w:space="0" w:color="000000"/>
              <w:right w:val="single" w:sz="8" w:space="0" w:color="auto"/>
            </w:tcBorders>
            <w:vAlign w:val="center"/>
            <w:hideMark/>
          </w:tcPr>
          <w:p w:rsidR="00202F67" w:rsidRPr="00621BF1" w:rsidRDefault="00202F67" w:rsidP="00202F67">
            <w:pPr>
              <w:spacing w:after="0" w:line="240" w:lineRule="auto"/>
              <w:rPr>
                <w:rFonts w:eastAsia="Times New Roman" w:cs="Times New Roman"/>
                <w:b/>
                <w:bCs/>
                <w:color w:val="FFFFFF"/>
                <w:lang w:val="en-US"/>
              </w:rPr>
            </w:pPr>
          </w:p>
        </w:tc>
        <w:tc>
          <w:tcPr>
            <w:tcW w:w="1710" w:type="dxa"/>
            <w:vMerge/>
            <w:tcBorders>
              <w:top w:val="nil"/>
              <w:left w:val="single" w:sz="8" w:space="0" w:color="auto"/>
              <w:bottom w:val="single" w:sz="8" w:space="0" w:color="000000"/>
              <w:right w:val="single" w:sz="8" w:space="0" w:color="auto"/>
            </w:tcBorders>
            <w:vAlign w:val="center"/>
            <w:hideMark/>
          </w:tcPr>
          <w:p w:rsidR="00202F67" w:rsidRPr="00621BF1" w:rsidRDefault="00202F67" w:rsidP="00202F67">
            <w:pPr>
              <w:spacing w:after="0" w:line="240" w:lineRule="auto"/>
              <w:rPr>
                <w:rFonts w:eastAsia="Times New Roman" w:cs="Times New Roman"/>
                <w:b/>
                <w:bCs/>
                <w:color w:val="FFFFFF"/>
                <w:lang w:val="en-US"/>
              </w:rPr>
            </w:pPr>
          </w:p>
        </w:tc>
        <w:tc>
          <w:tcPr>
            <w:tcW w:w="900" w:type="dxa"/>
            <w:tcBorders>
              <w:top w:val="nil"/>
              <w:left w:val="nil"/>
              <w:bottom w:val="single" w:sz="8" w:space="0" w:color="auto"/>
              <w:right w:val="single" w:sz="8" w:space="0" w:color="auto"/>
            </w:tcBorders>
            <w:shd w:val="clear" w:color="000000" w:fill="757171"/>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Times New Roman"/>
                <w:b/>
                <w:bCs/>
                <w:color w:val="FFFFFF"/>
              </w:rPr>
              <w:t>2016</w:t>
            </w:r>
          </w:p>
        </w:tc>
        <w:tc>
          <w:tcPr>
            <w:tcW w:w="810" w:type="dxa"/>
            <w:tcBorders>
              <w:top w:val="nil"/>
              <w:left w:val="nil"/>
              <w:bottom w:val="single" w:sz="8" w:space="0" w:color="auto"/>
              <w:right w:val="single" w:sz="8" w:space="0" w:color="auto"/>
            </w:tcBorders>
            <w:shd w:val="clear" w:color="000000" w:fill="757171"/>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Times New Roman"/>
                <w:b/>
                <w:bCs/>
                <w:color w:val="FFFFFF"/>
              </w:rPr>
              <w:t>2017</w:t>
            </w:r>
          </w:p>
        </w:tc>
        <w:tc>
          <w:tcPr>
            <w:tcW w:w="810" w:type="dxa"/>
            <w:tcBorders>
              <w:top w:val="nil"/>
              <w:left w:val="nil"/>
              <w:bottom w:val="single" w:sz="8" w:space="0" w:color="auto"/>
              <w:right w:val="single" w:sz="8" w:space="0" w:color="auto"/>
            </w:tcBorders>
            <w:shd w:val="clear" w:color="000000" w:fill="757171"/>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Times New Roman"/>
                <w:b/>
                <w:bCs/>
                <w:color w:val="FFFFFF"/>
              </w:rPr>
              <w:t>2018</w:t>
            </w:r>
          </w:p>
        </w:tc>
        <w:tc>
          <w:tcPr>
            <w:tcW w:w="720" w:type="dxa"/>
            <w:tcBorders>
              <w:top w:val="nil"/>
              <w:left w:val="nil"/>
              <w:bottom w:val="single" w:sz="8" w:space="0" w:color="auto"/>
              <w:right w:val="single" w:sz="8" w:space="0" w:color="auto"/>
            </w:tcBorders>
            <w:shd w:val="clear" w:color="000000" w:fill="757171"/>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Times New Roman"/>
                <w:b/>
                <w:bCs/>
                <w:color w:val="FFFFFF"/>
              </w:rPr>
              <w:t>2019</w:t>
            </w:r>
          </w:p>
        </w:tc>
        <w:tc>
          <w:tcPr>
            <w:tcW w:w="720" w:type="dxa"/>
            <w:tcBorders>
              <w:top w:val="nil"/>
              <w:left w:val="nil"/>
              <w:bottom w:val="single" w:sz="8" w:space="0" w:color="auto"/>
              <w:right w:val="single" w:sz="8" w:space="0" w:color="auto"/>
            </w:tcBorders>
            <w:shd w:val="clear" w:color="000000" w:fill="757171"/>
            <w:vAlign w:val="center"/>
            <w:hideMark/>
          </w:tcPr>
          <w:p w:rsidR="00202F67" w:rsidRPr="00621BF1" w:rsidRDefault="00202F67" w:rsidP="00202F67">
            <w:pPr>
              <w:spacing w:after="0" w:line="240" w:lineRule="auto"/>
              <w:jc w:val="center"/>
              <w:rPr>
                <w:rFonts w:eastAsia="Times New Roman" w:cs="Times New Roman"/>
                <w:b/>
                <w:bCs/>
                <w:color w:val="FFFFFF"/>
                <w:lang w:val="en-US"/>
              </w:rPr>
            </w:pPr>
            <w:r w:rsidRPr="00621BF1">
              <w:rPr>
                <w:rFonts w:eastAsia="Times New Roman" w:cs="Times New Roman"/>
                <w:b/>
                <w:bCs/>
                <w:color w:val="FFFFFF"/>
              </w:rPr>
              <w:t>2020</w:t>
            </w:r>
          </w:p>
        </w:tc>
      </w:tr>
      <w:tr w:rsidR="00C45960" w:rsidRPr="00D12D47" w:rsidTr="00E26414">
        <w:trPr>
          <w:trHeight w:val="1150"/>
        </w:trPr>
        <w:tc>
          <w:tcPr>
            <w:tcW w:w="24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rPr>
            </w:pPr>
            <w:r w:rsidRPr="00D12D47">
              <w:rPr>
                <w:rFonts w:eastAsia="Times New Roman" w:cs="Times New Roman"/>
                <w:color w:val="000000"/>
                <w:highlight w:val="yellow"/>
              </w:rPr>
              <w:lastRenderedPageBreak/>
              <w:t>D’ici à fin 2020, 90% des individus et des collectivités comprennent l’intérêt des vaccins et réclament la vaccination en tant que droit et responsabilité</w:t>
            </w:r>
          </w:p>
        </w:tc>
        <w:tc>
          <w:tcPr>
            <w:tcW w:w="189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rPr>
            </w:pPr>
            <w:r w:rsidRPr="00D12D47">
              <w:rPr>
                <w:rFonts w:eastAsia="Times New Roman" w:cs="Times New Roman"/>
                <w:color w:val="000000"/>
                <w:highlight w:val="yellow"/>
              </w:rPr>
              <w:t xml:space="preserve">Faire le plaidoyer auprès des parlementaires, des élus locaux, du secteur privé, des autorités administratives sectorielles à tous les niveaux pour leur implication effective en faveur de la vaccination </w:t>
            </w: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Organiser 6 réunions de plaidoyers   auprès des Ministères concernés (Education, Action sociale, Décentralisation, finance, communication, SGAR) pour leur engagement en faveur de la vaccination</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 CN PEV-UC</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r w:rsidR="00C45960" w:rsidRPr="00D12D47" w:rsidTr="00E26414">
        <w:trPr>
          <w:trHeight w:val="115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Times New Roman"/>
                <w:color w:val="000000"/>
                <w:highlight w:val="yellow"/>
              </w:rPr>
              <w:t xml:space="preserve">Organiser des </w:t>
            </w:r>
            <w:r w:rsidR="00B90A91" w:rsidRPr="00D12D47">
              <w:rPr>
                <w:rFonts w:eastAsia="Times New Roman" w:cs="Times New Roman"/>
                <w:color w:val="000000"/>
                <w:highlight w:val="yellow"/>
              </w:rPr>
              <w:t>réunions</w:t>
            </w:r>
            <w:r w:rsidRPr="00D12D47">
              <w:rPr>
                <w:rFonts w:eastAsia="Times New Roman" w:cs="Times New Roman"/>
                <w:color w:val="000000"/>
                <w:highlight w:val="yellow"/>
              </w:rPr>
              <w:t xml:space="preserve"> annuelles de plaidoyer </w:t>
            </w:r>
            <w:r w:rsidR="00B90A91" w:rsidRPr="00D12D47">
              <w:rPr>
                <w:rFonts w:eastAsia="Times New Roman" w:cs="Times New Roman"/>
                <w:color w:val="000000"/>
                <w:highlight w:val="yellow"/>
              </w:rPr>
              <w:t>auprès</w:t>
            </w:r>
            <w:r w:rsidRPr="00D12D47">
              <w:rPr>
                <w:rFonts w:eastAsia="Times New Roman" w:cs="Times New Roman"/>
                <w:color w:val="000000"/>
                <w:highlight w:val="yellow"/>
              </w:rPr>
              <w:t xml:space="preserve"> du secteur, y compris les compagnies </w:t>
            </w:r>
            <w:r w:rsidR="00B90A91" w:rsidRPr="00D12D47">
              <w:rPr>
                <w:rFonts w:eastAsia="Times New Roman" w:cs="Times New Roman"/>
                <w:color w:val="000000"/>
                <w:highlight w:val="yellow"/>
              </w:rPr>
              <w:t>minières</w:t>
            </w:r>
            <w:r w:rsidRPr="00D12D47">
              <w:rPr>
                <w:rFonts w:eastAsia="Times New Roman" w:cs="Times New Roman"/>
                <w:color w:val="000000"/>
                <w:highlight w:val="yellow"/>
              </w:rPr>
              <w:t xml:space="preserve"> pour la mobilisation des ressources en faveur de la vaccination</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Times New Roman"/>
                <w:color w:val="000000"/>
                <w:highlight w:val="yellow"/>
              </w:rPr>
              <w:t> </w:t>
            </w:r>
            <w:r w:rsidRPr="00D12D47">
              <w:rPr>
                <w:rFonts w:eastAsia="Times New Roman" w:cs="Times New Roman"/>
                <w:color w:val="000000"/>
                <w:highlight w:val="yellow"/>
                <w:lang w:val="en-US"/>
              </w:rPr>
              <w:t>CN PEV</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r>
      <w:tr w:rsidR="00C45960" w:rsidRPr="00D12D47" w:rsidTr="00E26414">
        <w:trPr>
          <w:trHeight w:val="1051"/>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Times New Roman"/>
                <w:color w:val="000000"/>
                <w:highlight w:val="yellow"/>
              </w:rPr>
              <w:t xml:space="preserve">Organiser des </w:t>
            </w:r>
            <w:r w:rsidR="00B90A91" w:rsidRPr="00D12D47">
              <w:rPr>
                <w:rFonts w:eastAsia="Times New Roman" w:cs="Times New Roman"/>
                <w:color w:val="000000"/>
                <w:highlight w:val="yellow"/>
              </w:rPr>
              <w:t>réunions</w:t>
            </w:r>
            <w:r w:rsidRPr="00D12D47">
              <w:rPr>
                <w:rFonts w:eastAsia="Times New Roman" w:cs="Times New Roman"/>
                <w:color w:val="000000"/>
                <w:highlight w:val="yellow"/>
              </w:rPr>
              <w:t xml:space="preserve"> annuelles de plaidoyer </w:t>
            </w:r>
            <w:r w:rsidR="00B90A91" w:rsidRPr="00D12D47">
              <w:rPr>
                <w:rFonts w:eastAsia="Times New Roman" w:cs="Times New Roman"/>
                <w:color w:val="000000"/>
                <w:highlight w:val="yellow"/>
              </w:rPr>
              <w:t>auprès</w:t>
            </w:r>
            <w:r w:rsidRPr="00D12D47">
              <w:rPr>
                <w:rFonts w:eastAsia="Times New Roman" w:cs="Times New Roman"/>
                <w:color w:val="000000"/>
                <w:highlight w:val="yellow"/>
              </w:rPr>
              <w:t xml:space="preserve"> de l'association des </w:t>
            </w:r>
            <w:r w:rsidR="00B90A91" w:rsidRPr="00D12D47">
              <w:rPr>
                <w:rFonts w:eastAsia="Times New Roman" w:cs="Times New Roman"/>
                <w:color w:val="000000"/>
                <w:highlight w:val="yellow"/>
              </w:rPr>
              <w:t>pédiatres</w:t>
            </w:r>
            <w:r w:rsidRPr="00D12D47">
              <w:rPr>
                <w:rFonts w:eastAsia="Times New Roman" w:cs="Times New Roman"/>
                <w:color w:val="000000"/>
                <w:highlight w:val="yellow"/>
              </w:rPr>
              <w:t>, des medias pour leur implication en faveur de la vaccination</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Times New Roman"/>
                <w:color w:val="000000"/>
                <w:highlight w:val="yellow"/>
              </w:rPr>
              <w:t> </w:t>
            </w:r>
            <w:r w:rsidRPr="00D12D47">
              <w:rPr>
                <w:rFonts w:eastAsia="Times New Roman" w:cs="Times New Roman"/>
                <w:color w:val="000000"/>
                <w:highlight w:val="yellow"/>
                <w:lang w:val="en-US"/>
              </w:rPr>
              <w:t>CN PEV</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r>
      <w:tr w:rsidR="00C45960" w:rsidRPr="00D12D47" w:rsidTr="00C45960">
        <w:trPr>
          <w:trHeight w:val="105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Organiser  46 réunions de sensibilisation avec les confessions religieuses, pour leur adhésion à la vaccination tous les 2 ans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DRS/DPS</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r>
      <w:tr w:rsidR="00C45960" w:rsidRPr="00D12D47" w:rsidTr="00E26414">
        <w:trPr>
          <w:trHeight w:val="988"/>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Faire le plaidoyer auprès des députés pour leur engagement dans les activités de vaccination dans leurs circonscriptions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proofErr w:type="spellStart"/>
            <w:r w:rsidRPr="00D12D47">
              <w:rPr>
                <w:rFonts w:eastAsia="Times New Roman" w:cs="Arial"/>
                <w:color w:val="000000"/>
                <w:highlight w:val="yellow"/>
              </w:rPr>
              <w:t>CNPev</w:t>
            </w:r>
            <w:proofErr w:type="spellEnd"/>
            <w:r w:rsidRPr="00D12D47">
              <w:rPr>
                <w:rFonts w:eastAsia="Times New Roman" w:cs="Arial"/>
                <w:color w:val="000000"/>
                <w:highlight w:val="yellow"/>
              </w:rPr>
              <w:t xml:space="preserve"> /UC</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r w:rsidR="00C45960" w:rsidRPr="00D12D47" w:rsidTr="00C45960">
        <w:trPr>
          <w:trHeight w:val="825"/>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rPr>
            </w:pPr>
            <w:r w:rsidRPr="00D12D47">
              <w:rPr>
                <w:rFonts w:eastAsia="Times New Roman" w:cs="Times New Roman"/>
                <w:color w:val="000000"/>
                <w:highlight w:val="yellow"/>
              </w:rPr>
              <w:t xml:space="preserve">Renforcer les capacités des organisations de la société civile, des agents de santé communautaires et des plateformes </w:t>
            </w:r>
            <w:r w:rsidRPr="00D12D47">
              <w:rPr>
                <w:rFonts w:eastAsia="Times New Roman" w:cs="Times New Roman"/>
                <w:color w:val="000000"/>
                <w:highlight w:val="yellow"/>
              </w:rPr>
              <w:lastRenderedPageBreak/>
              <w:t xml:space="preserve">communautaires pour leur contribution effective aux activités de vaccination </w:t>
            </w: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Times New Roman"/>
                <w:color w:val="000000"/>
                <w:highlight w:val="yellow"/>
              </w:rPr>
              <w:lastRenderedPageBreak/>
              <w:t xml:space="preserve">Appuyer le </w:t>
            </w:r>
            <w:r w:rsidR="00B90A91" w:rsidRPr="00D12D47">
              <w:rPr>
                <w:rFonts w:eastAsia="Times New Roman" w:cs="Times New Roman"/>
                <w:color w:val="000000"/>
                <w:highlight w:val="yellow"/>
              </w:rPr>
              <w:t>réseautage</w:t>
            </w:r>
            <w:r w:rsidRPr="00D12D47">
              <w:rPr>
                <w:rFonts w:eastAsia="Times New Roman" w:cs="Times New Roman"/>
                <w:color w:val="000000"/>
                <w:highlight w:val="yellow"/>
              </w:rPr>
              <w:t xml:space="preserve"> des </w:t>
            </w:r>
            <w:r w:rsidR="00B90A91" w:rsidRPr="00D12D47">
              <w:rPr>
                <w:rFonts w:eastAsia="Times New Roman" w:cs="Times New Roman"/>
                <w:color w:val="000000"/>
                <w:highlight w:val="yellow"/>
              </w:rPr>
              <w:t>plateformes</w:t>
            </w:r>
            <w:r w:rsidRPr="00D12D47">
              <w:rPr>
                <w:rFonts w:eastAsia="Times New Roman" w:cs="Times New Roman"/>
                <w:color w:val="000000"/>
                <w:highlight w:val="yellow"/>
              </w:rPr>
              <w:t xml:space="preserve"> </w:t>
            </w:r>
            <w:r w:rsidR="00B90A91" w:rsidRPr="00D12D47">
              <w:rPr>
                <w:rFonts w:eastAsia="Times New Roman" w:cs="Times New Roman"/>
                <w:color w:val="000000"/>
                <w:highlight w:val="yellow"/>
              </w:rPr>
              <w:t>communautaires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DPS/</w:t>
            </w:r>
            <w:proofErr w:type="spellStart"/>
            <w:r w:rsidRPr="00D12D47">
              <w:rPr>
                <w:rFonts w:eastAsia="Times New Roman" w:cs="Arial"/>
                <w:color w:val="000000"/>
                <w:highlight w:val="yellow"/>
              </w:rPr>
              <w:t>POSSAv</w:t>
            </w:r>
            <w:proofErr w:type="spellEnd"/>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r w:rsidR="00C45960" w:rsidRPr="00D12D47" w:rsidTr="00C45960">
        <w:trPr>
          <w:trHeight w:val="105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both"/>
              <w:rPr>
                <w:rFonts w:eastAsia="Times New Roman" w:cs="Times New Roman"/>
                <w:color w:val="000000"/>
                <w:highlight w:val="yellow"/>
              </w:rPr>
            </w:pPr>
            <w:r w:rsidRPr="00D12D47">
              <w:rPr>
                <w:rFonts w:eastAsia="Times New Roman" w:cs="Arial"/>
                <w:color w:val="000000"/>
                <w:highlight w:val="yellow"/>
              </w:rPr>
              <w:t>Appuyer les  plates-formes à organiser les débats communautaires dans les 38 DS, 4 fois par an</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Times New Roman"/>
                <w:color w:val="000000"/>
                <w:highlight w:val="yellow"/>
                <w:lang w:val="en-US"/>
              </w:rPr>
              <w:t>DPS/</w:t>
            </w:r>
            <w:proofErr w:type="spellStart"/>
            <w:r w:rsidRPr="00D12D47">
              <w:rPr>
                <w:rFonts w:eastAsia="Times New Roman" w:cs="Times New Roman"/>
                <w:color w:val="000000"/>
                <w:highlight w:val="yellow"/>
                <w:lang w:val="en-US"/>
              </w:rPr>
              <w:t>POSSAv</w:t>
            </w:r>
            <w:proofErr w:type="spellEnd"/>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 </w:t>
            </w:r>
          </w:p>
        </w:tc>
      </w:tr>
      <w:tr w:rsidR="00C45960" w:rsidRPr="00D12D47" w:rsidTr="00C45960">
        <w:trPr>
          <w:trHeight w:val="1395"/>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Identifier et former des plates-formes communautaires dans les 38 DS (3 formations/ recyclages par an regroupant 30 membres par DS)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DPS/</w:t>
            </w:r>
            <w:proofErr w:type="spellStart"/>
            <w:r w:rsidRPr="00D12D47">
              <w:rPr>
                <w:rFonts w:eastAsia="Times New Roman" w:cs="Arial"/>
                <w:color w:val="000000"/>
                <w:highlight w:val="yellow"/>
              </w:rPr>
              <w:t>POSSAv</w:t>
            </w:r>
            <w:proofErr w:type="spellEnd"/>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r w:rsidR="00C45960" w:rsidRPr="00D12D47" w:rsidTr="00E26414">
        <w:trPr>
          <w:trHeight w:val="1132"/>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rsidR="00202F67" w:rsidRPr="00D12D47" w:rsidRDefault="00202F67" w:rsidP="00202F67">
            <w:pPr>
              <w:spacing w:after="0" w:line="240" w:lineRule="auto"/>
              <w:jc w:val="center"/>
              <w:rPr>
                <w:rFonts w:eastAsia="Times New Roman" w:cs="Times New Roman"/>
                <w:color w:val="000000"/>
                <w:highlight w:val="yellow"/>
              </w:rPr>
            </w:pPr>
            <w:r w:rsidRPr="00D12D47">
              <w:rPr>
                <w:rFonts w:eastAsia="Times New Roman" w:cs="Times New Roman"/>
                <w:color w:val="000000"/>
                <w:highlight w:val="yellow"/>
              </w:rPr>
              <w:t>Soutenir les interventions  de communication et de mobilisation sociale autour de la vaccination à travers des stratégies innovantes et des supports adaptés</w:t>
            </w: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Engager, Former et motiver 2050 mobilisateurs sociaux (5 par CS) pour sensibiliser lors des AVS et le PEV de routine dans les  zones à accès difficiles et les zones spécifiques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DPS</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r w:rsidR="00C45960" w:rsidRPr="00D12D47" w:rsidTr="00C45960">
        <w:trPr>
          <w:trHeight w:val="105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Organiser 4 séances de Sensibilisation par an avec les groupements de femmes sur l’importance de la vaccination dans les 38 DS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Times New Roman"/>
                <w:color w:val="000000"/>
                <w:highlight w:val="yellow"/>
                <w:lang w:val="en-US"/>
              </w:rPr>
              <w:t>DPS</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r w:rsidR="00C45960" w:rsidRPr="00D12D47" w:rsidTr="00E26414">
        <w:trPr>
          <w:trHeight w:val="115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 xml:space="preserve">Organiser 48 séances (1/ </w:t>
            </w:r>
            <w:proofErr w:type="spellStart"/>
            <w:r w:rsidRPr="00D12D47">
              <w:rPr>
                <w:rFonts w:eastAsia="Times New Roman" w:cs="Arial"/>
                <w:color w:val="000000"/>
                <w:highlight w:val="yellow"/>
              </w:rPr>
              <w:t>sem</w:t>
            </w:r>
            <w:proofErr w:type="spellEnd"/>
            <w:r w:rsidRPr="00D12D47">
              <w:rPr>
                <w:rFonts w:eastAsia="Times New Roman" w:cs="Arial"/>
                <w:color w:val="000000"/>
                <w:highlight w:val="yellow"/>
              </w:rPr>
              <w:t>/CS/PS) d’IEC par an dans les 410 CS et 600 PS  pour la sensibilisation des mères d'enfants et femmes enceintes lors de la vaccination</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Times New Roman"/>
                <w:color w:val="000000"/>
                <w:highlight w:val="yellow"/>
                <w:lang w:val="en-US"/>
              </w:rPr>
              <w:t>DPS</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r w:rsidR="00C45960" w:rsidRPr="00D12D47" w:rsidTr="00C45960">
        <w:trPr>
          <w:trHeight w:val="1395"/>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Organiser 4 sessions de formation  durant les 5 ans, regroupant 66 journalistes et animateurs dans les 33 DS et 25 journalistes dans les 05 Communes de Conakry</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 xml:space="preserve"> CN </w:t>
            </w:r>
            <w:proofErr w:type="spellStart"/>
            <w:r w:rsidRPr="00D12D47">
              <w:rPr>
                <w:rFonts w:eastAsia="Times New Roman" w:cs="Arial"/>
                <w:color w:val="000000"/>
                <w:highlight w:val="yellow"/>
              </w:rPr>
              <w:t>Pev</w:t>
            </w:r>
            <w:proofErr w:type="spellEnd"/>
            <w:r w:rsidRPr="00D12D47">
              <w:rPr>
                <w:rFonts w:eastAsia="Times New Roman" w:cs="Arial"/>
                <w:color w:val="000000"/>
                <w:highlight w:val="yellow"/>
              </w:rPr>
              <w:t>/UC</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r>
      <w:tr w:rsidR="00C45960" w:rsidRPr="00D12D47" w:rsidTr="00C45960">
        <w:trPr>
          <w:trHeight w:val="105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 xml:space="preserve">Etablir et mettre en œuvre un Contrat par an avec les 28 radios rurales et 28 privées pour soutenir la vaccination </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Times New Roman"/>
                <w:color w:val="000000"/>
                <w:highlight w:val="yellow"/>
                <w:lang w:val="en-US"/>
              </w:rPr>
              <w:t xml:space="preserve">CN </w:t>
            </w:r>
            <w:proofErr w:type="spellStart"/>
            <w:r w:rsidRPr="00D12D47">
              <w:rPr>
                <w:rFonts w:eastAsia="Times New Roman" w:cs="Times New Roman"/>
                <w:color w:val="000000"/>
                <w:highlight w:val="yellow"/>
                <w:lang w:val="en-US"/>
              </w:rPr>
              <w:t>Pev</w:t>
            </w:r>
            <w:proofErr w:type="spellEnd"/>
            <w:r w:rsidRPr="00D12D47">
              <w:rPr>
                <w:rFonts w:eastAsia="Times New Roman" w:cs="Times New Roman"/>
                <w:color w:val="000000"/>
                <w:highlight w:val="yellow"/>
                <w:lang w:val="en-US"/>
              </w:rPr>
              <w:t>/UC</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r w:rsidR="00C45960" w:rsidRPr="00D12D47" w:rsidTr="00C45960">
        <w:trPr>
          <w:trHeight w:val="705"/>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Produire et diffuser 1 film documentaire par an sur la vaccination</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 xml:space="preserve"> CN </w:t>
            </w:r>
            <w:proofErr w:type="spellStart"/>
            <w:r w:rsidRPr="00D12D47">
              <w:rPr>
                <w:rFonts w:eastAsia="Times New Roman" w:cs="Arial"/>
                <w:color w:val="000000"/>
                <w:highlight w:val="yellow"/>
              </w:rPr>
              <w:t>Pev</w:t>
            </w:r>
            <w:proofErr w:type="spellEnd"/>
            <w:r w:rsidRPr="00D12D47">
              <w:rPr>
                <w:rFonts w:eastAsia="Times New Roman" w:cs="Arial"/>
                <w:color w:val="000000"/>
                <w:highlight w:val="yellow"/>
              </w:rPr>
              <w:t>/UC</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r w:rsidR="00C45960" w:rsidRPr="00D12D47" w:rsidTr="00E26414">
        <w:trPr>
          <w:trHeight w:val="106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Production et vulgarisation de 5050  guides / outils (boites à images, affiches, dépliants, posters), pour les 410 CS et 600 PS (5/ CS et PS)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 xml:space="preserve"> CN </w:t>
            </w:r>
            <w:proofErr w:type="spellStart"/>
            <w:r w:rsidRPr="00D12D47">
              <w:rPr>
                <w:rFonts w:eastAsia="Times New Roman" w:cs="Arial"/>
                <w:color w:val="000000"/>
                <w:highlight w:val="yellow"/>
              </w:rPr>
              <w:t>Pev</w:t>
            </w:r>
            <w:proofErr w:type="spellEnd"/>
            <w:r w:rsidRPr="00D12D47">
              <w:rPr>
                <w:rFonts w:eastAsia="Times New Roman" w:cs="Arial"/>
                <w:color w:val="000000"/>
                <w:highlight w:val="yellow"/>
              </w:rPr>
              <w:t xml:space="preserve"> /UC</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r>
      <w:tr w:rsidR="00C45960" w:rsidRPr="00D12D47" w:rsidTr="00C45960">
        <w:trPr>
          <w:trHeight w:val="36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545AFA" w:rsidP="00202F67">
            <w:pPr>
              <w:spacing w:after="0" w:line="240" w:lineRule="auto"/>
              <w:rPr>
                <w:rFonts w:eastAsia="Times New Roman" w:cs="Times New Roman"/>
                <w:color w:val="000000"/>
                <w:highlight w:val="yellow"/>
                <w:lang w:val="en-US"/>
              </w:rPr>
            </w:pPr>
            <w:r w:rsidRPr="00D12D47">
              <w:rPr>
                <w:rFonts w:eastAsia="Times New Roman" w:cs="Arial"/>
                <w:color w:val="000000"/>
                <w:highlight w:val="yellow"/>
              </w:rPr>
              <w:t>Acquérir</w:t>
            </w:r>
            <w:r w:rsidR="00202F67" w:rsidRPr="00D12D47">
              <w:rPr>
                <w:rFonts w:eastAsia="Times New Roman" w:cs="Arial"/>
                <w:color w:val="000000"/>
                <w:highlight w:val="yellow"/>
              </w:rPr>
              <w:t xml:space="preserve"> 5050 mégaphones et piles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 xml:space="preserve"> CN </w:t>
            </w:r>
            <w:proofErr w:type="spellStart"/>
            <w:r w:rsidRPr="00D12D47">
              <w:rPr>
                <w:rFonts w:eastAsia="Times New Roman" w:cs="Arial"/>
                <w:color w:val="000000"/>
                <w:highlight w:val="yellow"/>
              </w:rPr>
              <w:t>Pev</w:t>
            </w:r>
            <w:proofErr w:type="spellEnd"/>
            <w:r w:rsidRPr="00D12D47">
              <w:rPr>
                <w:rFonts w:eastAsia="Times New Roman" w:cs="Arial"/>
                <w:color w:val="000000"/>
                <w:highlight w:val="yellow"/>
              </w:rPr>
              <w:t xml:space="preserve"> /UC</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r>
      <w:tr w:rsidR="00C45960" w:rsidRPr="00D12D47" w:rsidTr="00C45960">
        <w:trPr>
          <w:trHeight w:val="105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Former 03 cadres de l’unité communication du PEV en planification des activités de communication 2  fois durant les 5 ans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 xml:space="preserve">  CN </w:t>
            </w:r>
            <w:proofErr w:type="spellStart"/>
            <w:r w:rsidRPr="00D12D47">
              <w:rPr>
                <w:rFonts w:eastAsia="Times New Roman" w:cs="Arial"/>
                <w:color w:val="000000"/>
                <w:highlight w:val="yellow"/>
              </w:rPr>
              <w:t>Pev</w:t>
            </w:r>
            <w:proofErr w:type="spellEnd"/>
            <w:r w:rsidRPr="00D12D47">
              <w:rPr>
                <w:rFonts w:eastAsia="Times New Roman" w:cs="Arial"/>
                <w:color w:val="000000"/>
                <w:highlight w:val="yellow"/>
              </w:rPr>
              <w:t xml:space="preserve"> /UC </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r>
      <w:tr w:rsidR="00C45960" w:rsidRPr="00D12D47" w:rsidTr="00E26414">
        <w:trPr>
          <w:trHeight w:val="1222"/>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Doter l’unité communication en site Web et  connexion internet, équipement de communication (appareil photo numérique, imprimante, tablette, dispositif de téléconférence etc.)</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 xml:space="preserve">    CN </w:t>
            </w:r>
            <w:proofErr w:type="spellStart"/>
            <w:r w:rsidRPr="00D12D47">
              <w:rPr>
                <w:rFonts w:eastAsia="Times New Roman" w:cs="Arial"/>
                <w:color w:val="000000"/>
                <w:highlight w:val="yellow"/>
              </w:rPr>
              <w:t>Pev</w:t>
            </w:r>
            <w:proofErr w:type="spellEnd"/>
            <w:r w:rsidRPr="00D12D47">
              <w:rPr>
                <w:rFonts w:eastAsia="Times New Roman" w:cs="Arial"/>
                <w:color w:val="000000"/>
                <w:highlight w:val="yellow"/>
              </w:rPr>
              <w:t xml:space="preserve"> </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r>
      <w:tr w:rsidR="00C45960" w:rsidRPr="00D12D47" w:rsidTr="00C45960">
        <w:trPr>
          <w:trHeight w:val="105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rPr>
                <w:rFonts w:eastAsia="Times New Roman" w:cs="Times New Roman"/>
                <w:color w:val="000000"/>
                <w:highlight w:val="yellow"/>
              </w:rPr>
            </w:pPr>
            <w:r w:rsidRPr="00D12D47">
              <w:rPr>
                <w:rFonts w:eastAsia="Times New Roman" w:cs="Arial"/>
                <w:color w:val="000000"/>
                <w:highlight w:val="yellow"/>
              </w:rPr>
              <w:t>Recruter, Former et engager un point focal communication dans les 8 régions et les 38 districts sanitaires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DRS/DPS</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81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r>
      <w:tr w:rsidR="00C45960" w:rsidRPr="00D12D47" w:rsidTr="00C45960">
        <w:trPr>
          <w:trHeight w:val="705"/>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both"/>
              <w:rPr>
                <w:rFonts w:eastAsia="Times New Roman" w:cs="Times New Roman"/>
                <w:color w:val="000000"/>
                <w:highlight w:val="yellow"/>
              </w:rPr>
            </w:pPr>
            <w:r w:rsidRPr="00D12D47">
              <w:rPr>
                <w:rFonts w:eastAsia="Times New Roman" w:cs="Arial"/>
                <w:color w:val="000000"/>
                <w:highlight w:val="yellow"/>
              </w:rPr>
              <w:t>Elaborer 3 plans de communication pour l'introduction de nouveaux vaccins</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 xml:space="preserve">  CN </w:t>
            </w:r>
            <w:proofErr w:type="spellStart"/>
            <w:r w:rsidRPr="00D12D47">
              <w:rPr>
                <w:rFonts w:eastAsia="Times New Roman" w:cs="Arial"/>
                <w:color w:val="000000"/>
                <w:highlight w:val="yellow"/>
              </w:rPr>
              <w:t>Pev</w:t>
            </w:r>
            <w:proofErr w:type="spellEnd"/>
            <w:r w:rsidRPr="00D12D47">
              <w:rPr>
                <w:rFonts w:eastAsia="Times New Roman" w:cs="Arial"/>
                <w:color w:val="000000"/>
                <w:highlight w:val="yellow"/>
              </w:rPr>
              <w:t xml:space="preserve"> /UC </w:t>
            </w:r>
          </w:p>
        </w:tc>
        <w:tc>
          <w:tcPr>
            <w:tcW w:w="90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FFFFFF"/>
            <w:noWrap/>
            <w:vAlign w:val="center"/>
            <w:hideMark/>
          </w:tcPr>
          <w:p w:rsidR="00202F67" w:rsidRPr="00D12D47" w:rsidRDefault="00202F67" w:rsidP="00202F67">
            <w:pPr>
              <w:spacing w:after="0" w:line="240" w:lineRule="auto"/>
              <w:rPr>
                <w:rFonts w:eastAsia="Times New Roman" w:cs="Times New Roman"/>
                <w:color w:val="000000"/>
                <w:highlight w:val="yellow"/>
                <w:lang w:val="en-US"/>
              </w:rPr>
            </w:pPr>
            <w:r w:rsidRPr="00D12D47">
              <w:rPr>
                <w:rFonts w:eastAsia="Times New Roman" w:cs="Times New Roman"/>
                <w:color w:val="000000"/>
                <w:highlight w:val="yellow"/>
                <w:lang w:val="en-US"/>
              </w:rPr>
              <w:t> </w:t>
            </w:r>
          </w:p>
        </w:tc>
      </w:tr>
      <w:tr w:rsidR="00C45960" w:rsidRPr="00D12D47" w:rsidTr="00C45960">
        <w:trPr>
          <w:trHeight w:val="360"/>
        </w:trPr>
        <w:tc>
          <w:tcPr>
            <w:tcW w:w="243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1890" w:type="dxa"/>
            <w:vMerge/>
            <w:tcBorders>
              <w:top w:val="nil"/>
              <w:left w:val="single" w:sz="8" w:space="0" w:color="auto"/>
              <w:bottom w:val="single" w:sz="8" w:space="0" w:color="000000"/>
              <w:right w:val="single" w:sz="8" w:space="0" w:color="auto"/>
            </w:tcBorders>
            <w:vAlign w:val="center"/>
            <w:hideMark/>
          </w:tcPr>
          <w:p w:rsidR="00202F67" w:rsidRPr="00D12D47" w:rsidRDefault="00202F67" w:rsidP="00202F67">
            <w:pPr>
              <w:spacing w:after="0" w:line="240" w:lineRule="auto"/>
              <w:rPr>
                <w:rFonts w:eastAsia="Times New Roman" w:cs="Times New Roman"/>
                <w:color w:val="000000"/>
                <w:highlight w:val="yellow"/>
                <w:lang w:val="en-US"/>
              </w:rPr>
            </w:pPr>
          </w:p>
        </w:tc>
        <w:tc>
          <w:tcPr>
            <w:tcW w:w="468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both"/>
              <w:rPr>
                <w:rFonts w:eastAsia="Times New Roman" w:cs="Times New Roman"/>
                <w:color w:val="000000"/>
                <w:highlight w:val="yellow"/>
              </w:rPr>
            </w:pPr>
            <w:r w:rsidRPr="00D12D47">
              <w:rPr>
                <w:rFonts w:eastAsia="Times New Roman" w:cs="Arial"/>
                <w:color w:val="000000"/>
                <w:highlight w:val="yellow"/>
              </w:rPr>
              <w:t>Superviser les activités de communication</w:t>
            </w:r>
          </w:p>
        </w:tc>
        <w:tc>
          <w:tcPr>
            <w:tcW w:w="1710" w:type="dxa"/>
            <w:tcBorders>
              <w:top w:val="nil"/>
              <w:left w:val="nil"/>
              <w:bottom w:val="single" w:sz="8" w:space="0" w:color="auto"/>
              <w:right w:val="single" w:sz="8" w:space="0" w:color="auto"/>
            </w:tcBorders>
            <w:shd w:val="clear" w:color="000000" w:fill="FFFFFF"/>
            <w:vAlign w:val="center"/>
            <w:hideMark/>
          </w:tcPr>
          <w:p w:rsidR="00202F67" w:rsidRPr="00D12D47" w:rsidRDefault="00202F67" w:rsidP="00202F67">
            <w:pPr>
              <w:spacing w:after="0" w:line="240" w:lineRule="auto"/>
              <w:jc w:val="center"/>
              <w:rPr>
                <w:rFonts w:eastAsia="Times New Roman" w:cs="Times New Roman"/>
                <w:color w:val="000000"/>
                <w:highlight w:val="yellow"/>
                <w:lang w:val="en-US"/>
              </w:rPr>
            </w:pPr>
            <w:r w:rsidRPr="00D12D47">
              <w:rPr>
                <w:rFonts w:eastAsia="Times New Roman" w:cs="Arial"/>
                <w:color w:val="000000"/>
                <w:highlight w:val="yellow"/>
              </w:rPr>
              <w:t xml:space="preserve">  CN </w:t>
            </w:r>
            <w:proofErr w:type="spellStart"/>
            <w:r w:rsidRPr="00D12D47">
              <w:rPr>
                <w:rFonts w:eastAsia="Times New Roman" w:cs="Arial"/>
                <w:color w:val="000000"/>
                <w:highlight w:val="yellow"/>
              </w:rPr>
              <w:t>Pev</w:t>
            </w:r>
            <w:proofErr w:type="spellEnd"/>
            <w:r w:rsidRPr="00D12D47">
              <w:rPr>
                <w:rFonts w:eastAsia="Times New Roman" w:cs="Arial"/>
                <w:color w:val="000000"/>
                <w:highlight w:val="yellow"/>
              </w:rPr>
              <w:t xml:space="preserve"> /UC </w:t>
            </w:r>
          </w:p>
        </w:tc>
        <w:tc>
          <w:tcPr>
            <w:tcW w:w="90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81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c>
          <w:tcPr>
            <w:tcW w:w="720" w:type="dxa"/>
            <w:tcBorders>
              <w:top w:val="nil"/>
              <w:left w:val="nil"/>
              <w:bottom w:val="single" w:sz="8" w:space="0" w:color="auto"/>
              <w:right w:val="single" w:sz="8" w:space="0" w:color="auto"/>
            </w:tcBorders>
            <w:shd w:val="clear" w:color="000000" w:fill="8497B0"/>
            <w:noWrap/>
            <w:vAlign w:val="center"/>
            <w:hideMark/>
          </w:tcPr>
          <w:p w:rsidR="00202F67" w:rsidRPr="00D12D47" w:rsidRDefault="00202F67" w:rsidP="00202F67">
            <w:pPr>
              <w:spacing w:after="0" w:line="240" w:lineRule="auto"/>
              <w:rPr>
                <w:rFonts w:eastAsia="Times New Roman" w:cs="Times New Roman"/>
                <w:color w:val="8497B0"/>
                <w:highlight w:val="yellow"/>
                <w:lang w:val="en-US"/>
              </w:rPr>
            </w:pPr>
            <w:r w:rsidRPr="00D12D47">
              <w:rPr>
                <w:rFonts w:eastAsia="Times New Roman" w:cs="Times New Roman"/>
                <w:color w:val="8497B0"/>
                <w:highlight w:val="yellow"/>
                <w:lang w:val="en-US"/>
              </w:rPr>
              <w:t>x</w:t>
            </w:r>
          </w:p>
        </w:tc>
      </w:tr>
    </w:tbl>
    <w:p w:rsidR="00431B9D" w:rsidRPr="00621BF1" w:rsidRDefault="00431B9D" w:rsidP="00431B9D">
      <w:pPr>
        <w:spacing w:after="120"/>
        <w:rPr>
          <w:lang w:val="fr-BE"/>
        </w:rPr>
      </w:pPr>
    </w:p>
    <w:p w:rsidR="00431B9D" w:rsidRPr="00621BF1" w:rsidRDefault="00431B9D" w:rsidP="00431B9D">
      <w:pPr>
        <w:spacing w:after="120"/>
        <w:rPr>
          <w:lang w:val="fr-BE"/>
        </w:rPr>
      </w:pPr>
    </w:p>
    <w:p w:rsidR="00431B9D" w:rsidRPr="00621BF1" w:rsidRDefault="00431B9D" w:rsidP="00431B9D">
      <w:pPr>
        <w:pStyle w:val="Paragraphedeliste"/>
        <w:autoSpaceDE w:val="0"/>
        <w:autoSpaceDN w:val="0"/>
        <w:adjustRightInd w:val="0"/>
        <w:ind w:left="360"/>
        <w:jc w:val="both"/>
        <w:rPr>
          <w:rFonts w:eastAsia="PMingLiU" w:cs="Arial"/>
        </w:rPr>
      </w:pPr>
    </w:p>
    <w:tbl>
      <w:tblPr>
        <w:tblW w:w="5031" w:type="pct"/>
        <w:tblLayout w:type="fixed"/>
        <w:tblLook w:val="04A0" w:firstRow="1" w:lastRow="0" w:firstColumn="1" w:lastColumn="0" w:noHBand="0" w:noVBand="1"/>
      </w:tblPr>
      <w:tblGrid>
        <w:gridCol w:w="2300"/>
        <w:gridCol w:w="1922"/>
        <w:gridCol w:w="4915"/>
        <w:gridCol w:w="1735"/>
        <w:gridCol w:w="914"/>
        <w:gridCol w:w="824"/>
        <w:gridCol w:w="797"/>
        <w:gridCol w:w="758"/>
        <w:gridCol w:w="821"/>
      </w:tblGrid>
      <w:tr w:rsidR="00C37152" w:rsidRPr="00621BF1" w:rsidTr="00C37152">
        <w:trPr>
          <w:trHeight w:val="450"/>
          <w:tblHeader/>
        </w:trPr>
        <w:tc>
          <w:tcPr>
            <w:tcW w:w="5000" w:type="pct"/>
            <w:gridSpan w:val="9"/>
            <w:tcBorders>
              <w:top w:val="single" w:sz="8" w:space="0" w:color="auto"/>
              <w:left w:val="single" w:sz="8" w:space="0" w:color="auto"/>
              <w:bottom w:val="single" w:sz="8" w:space="0" w:color="auto"/>
              <w:right w:val="single" w:sz="8" w:space="0" w:color="000000"/>
            </w:tcBorders>
            <w:shd w:val="clear" w:color="000000" w:fill="C45911"/>
            <w:noWrap/>
            <w:vAlign w:val="center"/>
            <w:hideMark/>
          </w:tcPr>
          <w:p w:rsidR="00C37152" w:rsidRPr="00621BF1" w:rsidRDefault="00C37152" w:rsidP="00C37152">
            <w:pPr>
              <w:spacing w:after="0" w:line="240" w:lineRule="auto"/>
              <w:rPr>
                <w:rFonts w:eastAsia="Times New Roman" w:cs="Times New Roman"/>
                <w:b/>
                <w:bCs/>
                <w:color w:val="FFFFFF"/>
                <w:lang w:val="en-US"/>
              </w:rPr>
            </w:pPr>
            <w:r w:rsidRPr="00621BF1">
              <w:rPr>
                <w:rFonts w:eastAsia="Times New Roman" w:cs="Times New Roman"/>
                <w:b/>
                <w:bCs/>
                <w:color w:val="FFFFFF"/>
                <w:lang w:val="en-US"/>
              </w:rPr>
              <w:t>E. GESTION DU PROGRAMME</w:t>
            </w:r>
          </w:p>
        </w:tc>
      </w:tr>
      <w:tr w:rsidR="00C37152" w:rsidRPr="00621BF1" w:rsidTr="00C37152">
        <w:trPr>
          <w:trHeight w:val="405"/>
          <w:tblHeader/>
        </w:trPr>
        <w:tc>
          <w:tcPr>
            <w:tcW w:w="767" w:type="pct"/>
            <w:vMerge w:val="restart"/>
            <w:tcBorders>
              <w:top w:val="nil"/>
              <w:left w:val="single" w:sz="8" w:space="0" w:color="auto"/>
              <w:bottom w:val="single" w:sz="8" w:space="0" w:color="000000"/>
              <w:right w:val="single" w:sz="8" w:space="0" w:color="auto"/>
            </w:tcBorders>
            <w:shd w:val="clear" w:color="000000" w:fill="757171"/>
            <w:vAlign w:val="center"/>
            <w:hideMark/>
          </w:tcPr>
          <w:p w:rsidR="00C37152" w:rsidRPr="00621BF1" w:rsidRDefault="00C37152" w:rsidP="00C37152">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Objectifs</w:t>
            </w:r>
            <w:proofErr w:type="spellEnd"/>
          </w:p>
        </w:tc>
        <w:tc>
          <w:tcPr>
            <w:tcW w:w="641" w:type="pct"/>
            <w:vMerge w:val="restart"/>
            <w:tcBorders>
              <w:top w:val="nil"/>
              <w:left w:val="single" w:sz="8" w:space="0" w:color="auto"/>
              <w:bottom w:val="single" w:sz="8" w:space="0" w:color="000000"/>
              <w:right w:val="single" w:sz="8" w:space="0" w:color="auto"/>
            </w:tcBorders>
            <w:shd w:val="clear" w:color="000000" w:fill="757171"/>
            <w:vAlign w:val="center"/>
            <w:hideMark/>
          </w:tcPr>
          <w:p w:rsidR="00C37152" w:rsidRPr="00621BF1" w:rsidRDefault="00C37152" w:rsidP="00C37152">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Stratégies</w:t>
            </w:r>
            <w:proofErr w:type="spellEnd"/>
          </w:p>
        </w:tc>
        <w:tc>
          <w:tcPr>
            <w:tcW w:w="1640" w:type="pct"/>
            <w:vMerge w:val="restart"/>
            <w:tcBorders>
              <w:top w:val="nil"/>
              <w:left w:val="single" w:sz="8" w:space="0" w:color="auto"/>
              <w:bottom w:val="single" w:sz="8" w:space="0" w:color="000000"/>
              <w:right w:val="single" w:sz="8" w:space="0" w:color="auto"/>
            </w:tcBorders>
            <w:shd w:val="clear" w:color="000000" w:fill="757171"/>
            <w:vAlign w:val="center"/>
            <w:hideMark/>
          </w:tcPr>
          <w:p w:rsidR="00C37152" w:rsidRPr="00621BF1" w:rsidRDefault="00C37152" w:rsidP="00C37152">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Activités</w:t>
            </w:r>
            <w:proofErr w:type="spellEnd"/>
            <w:r w:rsidRPr="00621BF1">
              <w:rPr>
                <w:rFonts w:eastAsia="Times New Roman" w:cs="Times New Roman"/>
                <w:b/>
                <w:bCs/>
                <w:color w:val="FFFFFF"/>
                <w:lang w:val="en-US"/>
              </w:rPr>
              <w:t xml:space="preserve"> </w:t>
            </w:r>
            <w:proofErr w:type="spellStart"/>
            <w:r w:rsidRPr="00621BF1">
              <w:rPr>
                <w:rFonts w:eastAsia="Times New Roman" w:cs="Times New Roman"/>
                <w:b/>
                <w:bCs/>
                <w:color w:val="FFFFFF"/>
                <w:lang w:val="en-US"/>
              </w:rPr>
              <w:t>essentielles</w:t>
            </w:r>
            <w:proofErr w:type="spellEnd"/>
          </w:p>
        </w:tc>
        <w:tc>
          <w:tcPr>
            <w:tcW w:w="579" w:type="pct"/>
            <w:vMerge w:val="restart"/>
            <w:tcBorders>
              <w:top w:val="nil"/>
              <w:left w:val="single" w:sz="8" w:space="0" w:color="auto"/>
              <w:bottom w:val="single" w:sz="8" w:space="0" w:color="000000"/>
              <w:right w:val="single" w:sz="8" w:space="0" w:color="auto"/>
            </w:tcBorders>
            <w:shd w:val="clear" w:color="000000" w:fill="757171"/>
            <w:vAlign w:val="center"/>
            <w:hideMark/>
          </w:tcPr>
          <w:p w:rsidR="00C37152" w:rsidRPr="00621BF1" w:rsidRDefault="00C37152" w:rsidP="00C37152">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Responsables</w:t>
            </w:r>
            <w:proofErr w:type="spellEnd"/>
          </w:p>
        </w:tc>
        <w:tc>
          <w:tcPr>
            <w:tcW w:w="1373" w:type="pct"/>
            <w:gridSpan w:val="5"/>
            <w:tcBorders>
              <w:top w:val="single" w:sz="8" w:space="0" w:color="auto"/>
              <w:left w:val="nil"/>
              <w:bottom w:val="single" w:sz="8" w:space="0" w:color="auto"/>
              <w:right w:val="single" w:sz="8" w:space="0" w:color="000000"/>
            </w:tcBorders>
            <w:shd w:val="clear" w:color="000000" w:fill="757171"/>
            <w:noWrap/>
            <w:vAlign w:val="center"/>
            <w:hideMark/>
          </w:tcPr>
          <w:p w:rsidR="00C37152" w:rsidRPr="00621BF1" w:rsidRDefault="00C37152" w:rsidP="00C37152">
            <w:pPr>
              <w:spacing w:after="0" w:line="240" w:lineRule="auto"/>
              <w:jc w:val="center"/>
              <w:rPr>
                <w:rFonts w:eastAsia="Times New Roman" w:cs="Times New Roman"/>
                <w:b/>
                <w:bCs/>
                <w:color w:val="FFFFFF"/>
                <w:lang w:val="en-US"/>
              </w:rPr>
            </w:pPr>
            <w:proofErr w:type="spellStart"/>
            <w:r w:rsidRPr="00621BF1">
              <w:rPr>
                <w:rFonts w:eastAsia="Times New Roman" w:cs="Times New Roman"/>
                <w:b/>
                <w:bCs/>
                <w:color w:val="FFFFFF"/>
                <w:lang w:val="en-US"/>
              </w:rPr>
              <w:t>Chronogramme</w:t>
            </w:r>
            <w:proofErr w:type="spellEnd"/>
          </w:p>
        </w:tc>
      </w:tr>
      <w:tr w:rsidR="00C37152" w:rsidRPr="00621BF1" w:rsidTr="00C37152">
        <w:trPr>
          <w:trHeight w:val="405"/>
          <w:tblHeader/>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b/>
                <w:bCs/>
                <w:color w:val="FFFFFF"/>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b/>
                <w:bCs/>
                <w:color w:val="FFFFFF"/>
                <w:lang w:val="en-US"/>
              </w:rPr>
            </w:pPr>
          </w:p>
        </w:tc>
        <w:tc>
          <w:tcPr>
            <w:tcW w:w="1640"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b/>
                <w:bCs/>
                <w:color w:val="FFFFFF"/>
                <w:lang w:val="en-US"/>
              </w:rPr>
            </w:pPr>
          </w:p>
        </w:tc>
        <w:tc>
          <w:tcPr>
            <w:tcW w:w="579"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b/>
                <w:bCs/>
                <w:color w:val="FFFFFF"/>
                <w:lang w:val="en-US"/>
              </w:rPr>
            </w:pPr>
          </w:p>
        </w:tc>
        <w:tc>
          <w:tcPr>
            <w:tcW w:w="305" w:type="pct"/>
            <w:tcBorders>
              <w:top w:val="nil"/>
              <w:left w:val="nil"/>
              <w:bottom w:val="single" w:sz="8" w:space="0" w:color="auto"/>
              <w:right w:val="single" w:sz="8" w:space="0" w:color="auto"/>
            </w:tcBorders>
            <w:shd w:val="clear" w:color="000000" w:fill="757171"/>
            <w:vAlign w:val="center"/>
            <w:hideMark/>
          </w:tcPr>
          <w:p w:rsidR="00C37152" w:rsidRPr="00621BF1" w:rsidRDefault="00C37152" w:rsidP="00C37152">
            <w:pPr>
              <w:spacing w:after="0" w:line="240" w:lineRule="auto"/>
              <w:jc w:val="right"/>
              <w:rPr>
                <w:rFonts w:eastAsia="Times New Roman" w:cs="Times New Roman"/>
                <w:b/>
                <w:bCs/>
                <w:color w:val="FFFFFF"/>
                <w:lang w:val="en-US"/>
              </w:rPr>
            </w:pPr>
            <w:r w:rsidRPr="00621BF1">
              <w:rPr>
                <w:rFonts w:eastAsia="Times New Roman" w:cs="Times New Roman"/>
                <w:b/>
                <w:bCs/>
                <w:color w:val="FFFFFF"/>
                <w:lang w:val="en-US"/>
              </w:rPr>
              <w:t>2016</w:t>
            </w:r>
          </w:p>
        </w:tc>
        <w:tc>
          <w:tcPr>
            <w:tcW w:w="275" w:type="pct"/>
            <w:tcBorders>
              <w:top w:val="nil"/>
              <w:left w:val="nil"/>
              <w:bottom w:val="single" w:sz="8" w:space="0" w:color="auto"/>
              <w:right w:val="single" w:sz="8" w:space="0" w:color="auto"/>
            </w:tcBorders>
            <w:shd w:val="clear" w:color="000000" w:fill="757171"/>
            <w:vAlign w:val="center"/>
            <w:hideMark/>
          </w:tcPr>
          <w:p w:rsidR="00C37152" w:rsidRPr="00621BF1" w:rsidRDefault="00C37152" w:rsidP="00C37152">
            <w:pPr>
              <w:spacing w:after="0" w:line="240" w:lineRule="auto"/>
              <w:jc w:val="right"/>
              <w:rPr>
                <w:rFonts w:eastAsia="Times New Roman" w:cs="Times New Roman"/>
                <w:b/>
                <w:bCs/>
                <w:color w:val="FFFFFF"/>
                <w:lang w:val="en-US"/>
              </w:rPr>
            </w:pPr>
            <w:r w:rsidRPr="00621BF1">
              <w:rPr>
                <w:rFonts w:eastAsia="Times New Roman" w:cs="Times New Roman"/>
                <w:b/>
                <w:bCs/>
                <w:color w:val="FFFFFF"/>
                <w:lang w:val="en-US"/>
              </w:rPr>
              <w:t>2017</w:t>
            </w:r>
          </w:p>
        </w:tc>
        <w:tc>
          <w:tcPr>
            <w:tcW w:w="266" w:type="pct"/>
            <w:tcBorders>
              <w:top w:val="nil"/>
              <w:left w:val="nil"/>
              <w:bottom w:val="single" w:sz="8" w:space="0" w:color="auto"/>
              <w:right w:val="single" w:sz="8" w:space="0" w:color="auto"/>
            </w:tcBorders>
            <w:shd w:val="clear" w:color="000000" w:fill="757171"/>
            <w:vAlign w:val="center"/>
            <w:hideMark/>
          </w:tcPr>
          <w:p w:rsidR="00C37152" w:rsidRPr="00621BF1" w:rsidRDefault="00C37152" w:rsidP="00C37152">
            <w:pPr>
              <w:spacing w:after="0" w:line="240" w:lineRule="auto"/>
              <w:jc w:val="right"/>
              <w:rPr>
                <w:rFonts w:eastAsia="Times New Roman" w:cs="Times New Roman"/>
                <w:b/>
                <w:bCs/>
                <w:color w:val="FFFFFF"/>
                <w:lang w:val="en-US"/>
              </w:rPr>
            </w:pPr>
            <w:r w:rsidRPr="00621BF1">
              <w:rPr>
                <w:rFonts w:eastAsia="Times New Roman" w:cs="Times New Roman"/>
                <w:b/>
                <w:bCs/>
                <w:color w:val="FFFFFF"/>
                <w:lang w:val="en-US"/>
              </w:rPr>
              <w:t>2018</w:t>
            </w:r>
          </w:p>
        </w:tc>
        <w:tc>
          <w:tcPr>
            <w:tcW w:w="253" w:type="pct"/>
            <w:tcBorders>
              <w:top w:val="nil"/>
              <w:left w:val="nil"/>
              <w:bottom w:val="single" w:sz="8" w:space="0" w:color="auto"/>
              <w:right w:val="single" w:sz="8" w:space="0" w:color="auto"/>
            </w:tcBorders>
            <w:shd w:val="clear" w:color="000000" w:fill="757171"/>
            <w:vAlign w:val="center"/>
            <w:hideMark/>
          </w:tcPr>
          <w:p w:rsidR="00C37152" w:rsidRPr="00621BF1" w:rsidRDefault="00C37152" w:rsidP="00C37152">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2019</w:t>
            </w:r>
          </w:p>
        </w:tc>
        <w:tc>
          <w:tcPr>
            <w:tcW w:w="274" w:type="pct"/>
            <w:tcBorders>
              <w:top w:val="nil"/>
              <w:left w:val="nil"/>
              <w:bottom w:val="single" w:sz="8" w:space="0" w:color="auto"/>
              <w:right w:val="single" w:sz="8" w:space="0" w:color="auto"/>
            </w:tcBorders>
            <w:shd w:val="clear" w:color="000000" w:fill="757171"/>
            <w:vAlign w:val="center"/>
            <w:hideMark/>
          </w:tcPr>
          <w:p w:rsidR="00C37152" w:rsidRPr="00621BF1" w:rsidRDefault="00C37152" w:rsidP="00C37152">
            <w:pPr>
              <w:spacing w:after="0" w:line="240" w:lineRule="auto"/>
              <w:jc w:val="center"/>
              <w:rPr>
                <w:rFonts w:eastAsia="Times New Roman" w:cs="Times New Roman"/>
                <w:b/>
                <w:bCs/>
                <w:color w:val="FFFFFF"/>
                <w:lang w:val="en-US"/>
              </w:rPr>
            </w:pPr>
            <w:r w:rsidRPr="00621BF1">
              <w:rPr>
                <w:rFonts w:eastAsia="Times New Roman" w:cs="Times New Roman"/>
                <w:b/>
                <w:bCs/>
                <w:color w:val="FFFFFF"/>
                <w:lang w:val="en-US"/>
              </w:rPr>
              <w:t>2020</w:t>
            </w:r>
          </w:p>
        </w:tc>
      </w:tr>
      <w:tr w:rsidR="00C37152" w:rsidRPr="00621BF1" w:rsidTr="00C37152">
        <w:trPr>
          <w:trHeight w:val="718"/>
        </w:trPr>
        <w:tc>
          <w:tcPr>
            <w:tcW w:w="767" w:type="pct"/>
            <w:vMerge w:val="restart"/>
            <w:tcBorders>
              <w:top w:val="nil"/>
              <w:left w:val="single" w:sz="8" w:space="0" w:color="auto"/>
              <w:bottom w:val="single" w:sz="8" w:space="0" w:color="000000"/>
              <w:right w:val="single" w:sz="8" w:space="0" w:color="auto"/>
            </w:tcBorders>
            <w:shd w:val="clear" w:color="auto" w:fill="auto"/>
            <w:vAlign w:val="center"/>
            <w:hideMark/>
          </w:tcPr>
          <w:p w:rsidR="00C37152" w:rsidRPr="00621BF1" w:rsidRDefault="00C37152" w:rsidP="00C37152">
            <w:pPr>
              <w:spacing w:after="0" w:line="240" w:lineRule="auto"/>
              <w:jc w:val="center"/>
              <w:rPr>
                <w:rFonts w:eastAsia="Times New Roman" w:cs="Times New Roman"/>
                <w:color w:val="000000"/>
              </w:rPr>
            </w:pPr>
            <w:r w:rsidRPr="00621BF1">
              <w:rPr>
                <w:rFonts w:eastAsia="Times New Roman" w:cs="Times New Roman"/>
                <w:color w:val="000000"/>
              </w:rPr>
              <w:t>Accroitre de 52% à 70% la fonctionnalité des structures de coordination, de leadership, de gouvernance et de mobilisation des ressources à tous les niveaux de 2017- 2020</w:t>
            </w:r>
          </w:p>
        </w:tc>
        <w:tc>
          <w:tcPr>
            <w:tcW w:w="641" w:type="pct"/>
            <w:vMerge w:val="restart"/>
            <w:tcBorders>
              <w:top w:val="nil"/>
              <w:left w:val="single" w:sz="8" w:space="0" w:color="auto"/>
              <w:bottom w:val="single" w:sz="8" w:space="0" w:color="000000"/>
              <w:right w:val="single" w:sz="8" w:space="0" w:color="auto"/>
            </w:tcBorders>
            <w:shd w:val="clear" w:color="auto" w:fill="auto"/>
            <w:vAlign w:val="center"/>
            <w:hideMark/>
          </w:tcPr>
          <w:p w:rsidR="00C37152" w:rsidRPr="00621BF1" w:rsidRDefault="00C37152" w:rsidP="00C37152">
            <w:pPr>
              <w:spacing w:after="0" w:line="240" w:lineRule="auto"/>
              <w:jc w:val="center"/>
              <w:rPr>
                <w:rFonts w:eastAsia="Times New Roman" w:cs="Times New Roman"/>
                <w:color w:val="000000"/>
              </w:rPr>
            </w:pPr>
            <w:r w:rsidRPr="00621BF1">
              <w:rPr>
                <w:rFonts w:eastAsia="Times New Roman" w:cs="Times New Roman"/>
                <w:color w:val="000000"/>
              </w:rPr>
              <w:t xml:space="preserve">Renforcement des capacités des organes de coordination et de concertation ainsi que l’amélioration du cadre de </w:t>
            </w:r>
            <w:proofErr w:type="spellStart"/>
            <w:r w:rsidRPr="00621BF1">
              <w:rPr>
                <w:rFonts w:eastAsia="Times New Roman" w:cs="Times New Roman"/>
                <w:color w:val="000000"/>
              </w:rPr>
              <w:t>redevabilité</w:t>
            </w:r>
            <w:proofErr w:type="spellEnd"/>
            <w:r w:rsidRPr="00621BF1">
              <w:rPr>
                <w:rFonts w:eastAsia="Times New Roman" w:cs="Times New Roman"/>
                <w:color w:val="000000"/>
              </w:rPr>
              <w:t xml:space="preserve"> à tous les niveaux</w:t>
            </w: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Analyser l’organisation fonctionnelle du programme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Ministre</w:t>
            </w:r>
            <w:proofErr w:type="spellEnd"/>
            <w:r w:rsidRPr="00621BF1">
              <w:rPr>
                <w:rFonts w:eastAsia="Times New Roman" w:cs="Times New Roman"/>
                <w:color w:val="000000"/>
                <w:lang w:val="en-US"/>
              </w:rPr>
              <w:t xml:space="preserve"> de la </w:t>
            </w:r>
            <w:r w:rsidR="00545AFA" w:rsidRPr="00621BF1">
              <w:rPr>
                <w:rFonts w:eastAsia="Times New Roman" w:cs="Times New Roman"/>
                <w:color w:val="000000"/>
                <w:lang w:val="en-US"/>
              </w:rPr>
              <w:t>Santé</w:t>
            </w:r>
            <w:r w:rsidRPr="00621BF1">
              <w:rPr>
                <w:rFonts w:eastAsia="Times New Roman" w:cs="Times New Roman"/>
                <w:color w:val="000000"/>
                <w:lang w:val="en-US"/>
              </w:rPr>
              <w:t xml:space="preserve"> </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36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Réviser l’organigramme du Programme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Secrétaire</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Général</w:t>
            </w:r>
            <w:proofErr w:type="spellEnd"/>
            <w:r w:rsidRPr="00621BF1">
              <w:rPr>
                <w:rFonts w:eastAsia="Times New Roman" w:cs="Times New Roman"/>
                <w:color w:val="000000"/>
                <w:lang w:val="en-US"/>
              </w:rPr>
              <w:t xml:space="preserve"> </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Rédiger</w:t>
            </w:r>
            <w:proofErr w:type="spellEnd"/>
            <w:r w:rsidRPr="00621BF1">
              <w:rPr>
                <w:rFonts w:eastAsia="Times New Roman" w:cs="Times New Roman"/>
                <w:color w:val="000000"/>
                <w:lang w:val="en-US"/>
              </w:rPr>
              <w:t xml:space="preserve"> les </w:t>
            </w:r>
            <w:proofErr w:type="spellStart"/>
            <w:r w:rsidRPr="00621BF1">
              <w:rPr>
                <w:rFonts w:eastAsia="Times New Roman" w:cs="Times New Roman"/>
                <w:color w:val="000000"/>
                <w:lang w:val="en-US"/>
              </w:rPr>
              <w:t>textes</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juridiques</w:t>
            </w:r>
            <w:proofErr w:type="spellEnd"/>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Conseillère</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juridique</w:t>
            </w:r>
            <w:proofErr w:type="spellEnd"/>
            <w:r w:rsidRPr="00621BF1">
              <w:rPr>
                <w:rFonts w:eastAsia="Times New Roman" w:cs="Times New Roman"/>
                <w:color w:val="000000"/>
                <w:lang w:val="en-US"/>
              </w:rPr>
              <w:t xml:space="preserve"> du MS</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36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Adopter le document </w:t>
            </w:r>
            <w:proofErr w:type="spellStart"/>
            <w:r w:rsidRPr="00621BF1">
              <w:rPr>
                <w:rFonts w:eastAsia="Times New Roman" w:cs="Times New Roman"/>
                <w:color w:val="000000"/>
                <w:lang w:val="en-US"/>
              </w:rPr>
              <w:t>juridique</w:t>
            </w:r>
            <w:proofErr w:type="spellEnd"/>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Ministre</w:t>
            </w:r>
            <w:proofErr w:type="spellEnd"/>
            <w:r w:rsidRPr="00621BF1">
              <w:rPr>
                <w:rFonts w:eastAsia="Times New Roman" w:cs="Times New Roman"/>
                <w:color w:val="000000"/>
                <w:lang w:val="en-US"/>
              </w:rPr>
              <w:t xml:space="preserve"> de la santé</w:t>
            </w:r>
          </w:p>
        </w:tc>
        <w:tc>
          <w:tcPr>
            <w:tcW w:w="30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E26414">
        <w:trPr>
          <w:trHeight w:val="979"/>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Relancer le plaidoyer </w:t>
            </w:r>
            <w:r w:rsidR="00545AFA" w:rsidRPr="00621BF1">
              <w:rPr>
                <w:rFonts w:eastAsia="Times New Roman" w:cs="Times New Roman"/>
                <w:color w:val="000000"/>
              </w:rPr>
              <w:t>auprès</w:t>
            </w:r>
            <w:r w:rsidRPr="00621BF1">
              <w:rPr>
                <w:rFonts w:eastAsia="Times New Roman" w:cs="Times New Roman"/>
                <w:color w:val="000000"/>
              </w:rPr>
              <w:t xml:space="preserve"> des </w:t>
            </w:r>
            <w:r w:rsidR="00545AFA" w:rsidRPr="00621BF1">
              <w:rPr>
                <w:rFonts w:eastAsia="Times New Roman" w:cs="Times New Roman"/>
                <w:color w:val="000000"/>
              </w:rPr>
              <w:t>autorités</w:t>
            </w:r>
            <w:r w:rsidRPr="00621BF1">
              <w:rPr>
                <w:rFonts w:eastAsia="Times New Roman" w:cs="Times New Roman"/>
                <w:color w:val="000000"/>
              </w:rPr>
              <w:t xml:space="preserve"> pour l'</w:t>
            </w:r>
            <w:r w:rsidR="00545AFA" w:rsidRPr="00621BF1">
              <w:rPr>
                <w:rFonts w:eastAsia="Times New Roman" w:cs="Times New Roman"/>
                <w:color w:val="000000"/>
              </w:rPr>
              <w:t>accélération</w:t>
            </w:r>
            <w:r w:rsidRPr="00621BF1">
              <w:rPr>
                <w:rFonts w:eastAsia="Times New Roman" w:cs="Times New Roman"/>
                <w:color w:val="000000"/>
              </w:rPr>
              <w:t xml:space="preserve"> de la signature et de la validation des textes </w:t>
            </w:r>
            <w:r w:rsidR="00545AFA" w:rsidRPr="00621BF1">
              <w:rPr>
                <w:rFonts w:eastAsia="Times New Roman" w:cs="Times New Roman"/>
                <w:color w:val="000000"/>
              </w:rPr>
              <w:t>révisés</w:t>
            </w:r>
            <w:r w:rsidRPr="00621BF1">
              <w:rPr>
                <w:rFonts w:eastAsia="Times New Roman" w:cs="Times New Roman"/>
                <w:color w:val="000000"/>
              </w:rPr>
              <w:t xml:space="preserve"> du CCIA</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Secrétaire</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Général</w:t>
            </w:r>
            <w:proofErr w:type="spellEnd"/>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Elaborer et soumettre pour adoption la Loi sur la vaccination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Conseillère</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juridique</w:t>
            </w:r>
            <w:proofErr w:type="spellEnd"/>
            <w:r w:rsidRPr="00621BF1">
              <w:rPr>
                <w:rFonts w:eastAsia="Times New Roman" w:cs="Times New Roman"/>
                <w:color w:val="000000"/>
                <w:lang w:val="en-US"/>
              </w:rPr>
              <w:t xml:space="preserve"> du MS </w:t>
            </w:r>
          </w:p>
        </w:tc>
        <w:tc>
          <w:tcPr>
            <w:tcW w:w="30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Elaborer et mettre en œuvre le PAO annuel du programme</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Chef de Section suivi-évaluation</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Evaluer annuellement le PAO de la CN-PEV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Chef de Section suivi-évaluation</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Appuyer 38 districts pour l'élaboration de leurs PAO</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Chef de Section suivi-évaluation</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36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Organiser la revue annuelle du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E26414">
        <w:trPr>
          <w:trHeight w:val="646"/>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Organiser deux revues externes du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Chef section suivi-évaluation et recherches</w:t>
            </w:r>
          </w:p>
        </w:tc>
        <w:tc>
          <w:tcPr>
            <w:tcW w:w="30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67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Réalisée 2 réunions décentralisées par an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Inscrire les besoins en vaccins, équipements et matériels du PEV dans le BND</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Ministre</w:t>
            </w:r>
            <w:proofErr w:type="spellEnd"/>
            <w:r w:rsidRPr="00621BF1">
              <w:rPr>
                <w:rFonts w:eastAsia="Times New Roman" w:cs="Times New Roman"/>
                <w:color w:val="000000"/>
                <w:lang w:val="en-US"/>
              </w:rPr>
              <w:t xml:space="preserve"> de la santé </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Réaliser l’évaluation à mi-parcours du PPAC en 2016-2020</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Evaluer le PPAC 2016-2020 et élaborer le PPAC 2021-2025</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Section </w:t>
            </w:r>
            <w:proofErr w:type="spellStart"/>
            <w:r w:rsidRPr="00621BF1">
              <w:rPr>
                <w:rFonts w:eastAsia="Times New Roman" w:cs="Times New Roman"/>
                <w:color w:val="000000"/>
                <w:lang w:val="en-US"/>
              </w:rPr>
              <w:t>Suivi</w:t>
            </w:r>
            <w:proofErr w:type="spellEnd"/>
            <w:r w:rsidRPr="00621BF1">
              <w:rPr>
                <w:rFonts w:eastAsia="Times New Roman" w:cs="Times New Roman"/>
                <w:color w:val="000000"/>
                <w:lang w:val="en-US"/>
              </w:rPr>
              <w:t xml:space="preserve"> et </w:t>
            </w:r>
            <w:proofErr w:type="spellStart"/>
            <w:r w:rsidRPr="00621BF1">
              <w:rPr>
                <w:rFonts w:eastAsia="Times New Roman" w:cs="Times New Roman"/>
                <w:color w:val="000000"/>
                <w:lang w:val="en-US"/>
              </w:rPr>
              <w:t>évaluation</w:t>
            </w:r>
            <w:proofErr w:type="spellEnd"/>
          </w:p>
        </w:tc>
        <w:tc>
          <w:tcPr>
            <w:tcW w:w="30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36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Organiser 4 réunions du CCIA par an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Ministre</w:t>
            </w:r>
            <w:proofErr w:type="spellEnd"/>
            <w:r w:rsidRPr="00621BF1">
              <w:rPr>
                <w:rFonts w:eastAsia="Times New Roman" w:cs="Times New Roman"/>
                <w:color w:val="000000"/>
                <w:lang w:val="en-US"/>
              </w:rPr>
              <w:t xml:space="preserve"> de la santé</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Organiser 12 réunions des CCS par an aux chefs de districts</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DPS</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Organiser 2 réunions du CTPS par an dans chaque DPS</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DPS</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Organiser 2 réunions du CTRS par an dans chaque DRS</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DRS</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Organiser des </w:t>
            </w:r>
            <w:r w:rsidR="004407A1" w:rsidRPr="00621BF1">
              <w:rPr>
                <w:rFonts w:eastAsia="Times New Roman" w:cs="Times New Roman"/>
                <w:color w:val="000000"/>
              </w:rPr>
              <w:t>réunions</w:t>
            </w:r>
            <w:r w:rsidRPr="00621BF1">
              <w:rPr>
                <w:rFonts w:eastAsia="Times New Roman" w:cs="Times New Roman"/>
                <w:color w:val="000000"/>
              </w:rPr>
              <w:t xml:space="preserve"> semestrielles du comité technique de coordination pour le PEV </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Secrétaire</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Général</w:t>
            </w:r>
            <w:proofErr w:type="spellEnd"/>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Mettre en place le Groupe technique consultatif pour la vaccination (GTCV)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Ministre</w:t>
            </w:r>
            <w:proofErr w:type="spellEnd"/>
            <w:r w:rsidRPr="00621BF1">
              <w:rPr>
                <w:rFonts w:eastAsia="Times New Roman" w:cs="Times New Roman"/>
                <w:color w:val="000000"/>
                <w:lang w:val="en-US"/>
              </w:rPr>
              <w:t xml:space="preserve"> de la Santé </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Tenir les réunions mensuelles du groupe technique CCIA</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Ministre</w:t>
            </w:r>
            <w:proofErr w:type="spellEnd"/>
            <w:r w:rsidRPr="00621BF1">
              <w:rPr>
                <w:rFonts w:eastAsia="Times New Roman" w:cs="Times New Roman"/>
                <w:color w:val="000000"/>
                <w:lang w:val="en-US"/>
              </w:rPr>
              <w:t xml:space="preserve"> de la santé</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Elaborer des rapports de cadre de performance par semestre</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 Chef de Section suivi-évaluation</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Elaborer et diffuser le rapport de progrès de chaque année</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Chargé de la surveillance du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Elaborer les rapports  annuels de situation </w:t>
            </w:r>
            <w:proofErr w:type="spellStart"/>
            <w:r w:rsidRPr="00621BF1">
              <w:rPr>
                <w:rFonts w:eastAsia="Times New Roman" w:cs="Times New Roman"/>
                <w:color w:val="000000"/>
              </w:rPr>
              <w:t>Gavi</w:t>
            </w:r>
            <w:proofErr w:type="spellEnd"/>
            <w:r w:rsidRPr="00621BF1">
              <w:rPr>
                <w:rFonts w:eastAsia="Times New Roman" w:cs="Times New Roman"/>
                <w:color w:val="000000"/>
              </w:rPr>
              <w:t xml:space="preserve"> (RSA)</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Elaborer les rapports conjoints OMS/UNICEF (JRF)</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Tenir des rencontres trimestrielles avec les PTF</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39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Inscrire le </w:t>
            </w:r>
            <w:r w:rsidR="004407A1" w:rsidRPr="00621BF1">
              <w:rPr>
                <w:rFonts w:eastAsia="Times New Roman" w:cs="Times New Roman"/>
                <w:color w:val="000000"/>
              </w:rPr>
              <w:t>volet</w:t>
            </w:r>
            <w:r w:rsidRPr="00621BF1">
              <w:rPr>
                <w:rFonts w:eastAsia="Times New Roman" w:cs="Times New Roman"/>
                <w:color w:val="000000"/>
              </w:rPr>
              <w:t xml:space="preserve"> "vaccination" à l'ordre du jour lors des instances de coordination (réunions de cabinet, conseil des Ministres, etc.)</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Ministre</w:t>
            </w:r>
            <w:proofErr w:type="spellEnd"/>
            <w:r w:rsidRPr="00621BF1">
              <w:rPr>
                <w:rFonts w:eastAsia="Times New Roman" w:cs="Times New Roman"/>
                <w:color w:val="000000"/>
                <w:lang w:val="en-US"/>
              </w:rPr>
              <w:t xml:space="preserve"> de la santé </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Mettre en place de cadre collaboration entre le PEV et les structures de recherches</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Chef de Section suivi-évaluation et recherches</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Participer</w:t>
            </w:r>
            <w:proofErr w:type="spellEnd"/>
            <w:r w:rsidRPr="00621BF1">
              <w:rPr>
                <w:rFonts w:eastAsia="Times New Roman" w:cs="Times New Roman"/>
                <w:color w:val="000000"/>
                <w:lang w:val="en-US"/>
              </w:rPr>
              <w:t xml:space="preserve"> aux </w:t>
            </w:r>
            <w:proofErr w:type="spellStart"/>
            <w:r w:rsidRPr="00621BF1">
              <w:rPr>
                <w:rFonts w:eastAsia="Times New Roman" w:cs="Times New Roman"/>
                <w:color w:val="000000"/>
                <w:lang w:val="en-US"/>
              </w:rPr>
              <w:t>journées</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scientifiques</w:t>
            </w:r>
            <w:proofErr w:type="spellEnd"/>
            <w:r w:rsidRPr="00621BF1">
              <w:rPr>
                <w:rFonts w:eastAsia="Times New Roman" w:cs="Times New Roman"/>
                <w:color w:val="000000"/>
                <w:lang w:val="en-US"/>
              </w:rPr>
              <w:t xml:space="preserve"> </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Chef de Section suivi-évaluation et recherches</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Signer un protocole d’accord avec la société civile en faveur de la vaccination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Actualiser le protocole d'accord entre l'Unicef et l'Etat pour les achats de vaccin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4407A1"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Ministè</w:t>
            </w:r>
            <w:r w:rsidR="00C37152" w:rsidRPr="00621BF1">
              <w:rPr>
                <w:rFonts w:eastAsia="Times New Roman" w:cs="Times New Roman"/>
                <w:color w:val="000000"/>
                <w:lang w:val="en-US"/>
              </w:rPr>
              <w:t>re</w:t>
            </w:r>
            <w:proofErr w:type="spellEnd"/>
            <w:r w:rsidR="00C37152" w:rsidRPr="00621BF1">
              <w:rPr>
                <w:rFonts w:eastAsia="Times New Roman" w:cs="Times New Roman"/>
                <w:color w:val="000000"/>
                <w:lang w:val="en-US"/>
              </w:rPr>
              <w:t xml:space="preserve"> de la santé</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Mettre en place un mécanisme de suivi des fonds alloués au PEV par le BND</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CNPEV</w:t>
            </w:r>
          </w:p>
        </w:tc>
        <w:tc>
          <w:tcPr>
            <w:tcW w:w="30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60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Evaluer le plan de relance du PEV 2015-2016</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CSS-ER</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Doter la CNPEV des fournitures bureautiques (Imprimantes, onduleurs, consommables etc.)</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Faire le plaidoyer pour doter le PEV un nouveau siège </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Construire les bureaux pour le personnel de la coordination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Poursuivre la réhabilitation des bureaux du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30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Construire un entrepôt sec pour le stockage des consommables a la CNPEV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rPr>
              <w:t> </w:t>
            </w:r>
            <w:r w:rsidRPr="00621BF1">
              <w:rPr>
                <w:rFonts w:eastAsia="Times New Roman" w:cs="Times New Roman"/>
                <w:color w:val="000000"/>
                <w:lang w:val="en-US"/>
              </w:rPr>
              <w:t>CNPEV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Elaborer un plan de formation des agents de santé en cours d’emploi sur le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rPr>
              <w:t> </w:t>
            </w: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val="restart"/>
            <w:tcBorders>
              <w:top w:val="nil"/>
              <w:left w:val="single" w:sz="8" w:space="0" w:color="auto"/>
              <w:bottom w:val="nil"/>
              <w:right w:val="single" w:sz="8" w:space="0" w:color="auto"/>
            </w:tcBorders>
            <w:shd w:val="clear" w:color="auto" w:fill="auto"/>
            <w:vAlign w:val="center"/>
            <w:hideMark/>
          </w:tcPr>
          <w:p w:rsidR="00C37152" w:rsidRPr="00621BF1" w:rsidRDefault="00C37152" w:rsidP="00C37152">
            <w:pPr>
              <w:spacing w:after="0" w:line="240" w:lineRule="auto"/>
              <w:jc w:val="center"/>
              <w:rPr>
                <w:rFonts w:eastAsia="Times New Roman" w:cs="Times New Roman"/>
                <w:color w:val="000000"/>
              </w:rPr>
            </w:pPr>
            <w:r w:rsidRPr="00621BF1">
              <w:rPr>
                <w:rFonts w:eastAsia="Times New Roman" w:cs="Times New Roman"/>
                <w:color w:val="000000"/>
              </w:rPr>
              <w:t>Renforcement des capacités techniques du personnel de santé à tous les niveaux  en mettant en place un système de motivation attractif, durable et de fidélisation du personnel</w:t>
            </w: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Elaborer les documents normatifs (y compris les documents de soumission, fiches techniques)</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rPr>
              <w:t> </w:t>
            </w: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988"/>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Organiser la formation  de 60 enseignants des écoles et instituts de formation (publics et privés) en santé publique  sur la gestion du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rPr>
              <w:t> </w:t>
            </w: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Elaborer les modules de formation sur l'introduction des nouveaux vaccins (PCV13, </w:t>
            </w:r>
            <w:proofErr w:type="spellStart"/>
            <w:r w:rsidRPr="00621BF1">
              <w:rPr>
                <w:rFonts w:eastAsia="Times New Roman" w:cs="Times New Roman"/>
                <w:color w:val="000000"/>
              </w:rPr>
              <w:t>Rotavirus</w:t>
            </w:r>
            <w:proofErr w:type="spellEnd"/>
            <w:r w:rsidRPr="00621BF1">
              <w:rPr>
                <w:rFonts w:eastAsia="Times New Roman" w:cs="Times New Roman"/>
                <w:color w:val="000000"/>
              </w:rPr>
              <w:t xml:space="preserve">, </w:t>
            </w:r>
            <w:proofErr w:type="spellStart"/>
            <w:r w:rsidRPr="00621BF1">
              <w:rPr>
                <w:rFonts w:eastAsia="Times New Roman" w:cs="Times New Roman"/>
                <w:color w:val="000000"/>
              </w:rPr>
              <w:t>MenAfrivac</w:t>
            </w:r>
            <w:proofErr w:type="spellEnd"/>
            <w:r w:rsidRPr="00621BF1">
              <w:rPr>
                <w:rFonts w:eastAsia="Times New Roman" w:cs="Times New Roman"/>
                <w:color w:val="000000"/>
              </w:rPr>
              <w:t>, HPV, VAR2)</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Chef </w:t>
            </w:r>
            <w:proofErr w:type="spellStart"/>
            <w:r w:rsidR="004407A1" w:rsidRPr="00621BF1">
              <w:rPr>
                <w:rFonts w:eastAsia="Times New Roman" w:cs="Times New Roman"/>
                <w:color w:val="000000"/>
                <w:lang w:val="en-US"/>
              </w:rPr>
              <w:t>I</w:t>
            </w:r>
            <w:r w:rsidRPr="00621BF1">
              <w:rPr>
                <w:rFonts w:eastAsia="Times New Roman" w:cs="Times New Roman"/>
                <w:color w:val="000000"/>
                <w:lang w:val="en-US"/>
              </w:rPr>
              <w:t>mmunisation</w:t>
            </w:r>
            <w:proofErr w:type="spellEnd"/>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Organiser la formation de 92 formateurs sur l'introduction des nouveaux vaccins (PCV13, </w:t>
            </w:r>
            <w:proofErr w:type="spellStart"/>
            <w:r w:rsidRPr="00621BF1">
              <w:rPr>
                <w:rFonts w:eastAsia="Times New Roman" w:cs="Times New Roman"/>
                <w:color w:val="000000"/>
              </w:rPr>
              <w:t>Rotavirus</w:t>
            </w:r>
            <w:proofErr w:type="spellEnd"/>
            <w:r w:rsidRPr="00621BF1">
              <w:rPr>
                <w:rFonts w:eastAsia="Times New Roman" w:cs="Times New Roman"/>
                <w:color w:val="000000"/>
              </w:rPr>
              <w:t xml:space="preserve">, </w:t>
            </w:r>
            <w:proofErr w:type="spellStart"/>
            <w:r w:rsidRPr="00621BF1">
              <w:rPr>
                <w:rFonts w:eastAsia="Times New Roman" w:cs="Times New Roman"/>
                <w:color w:val="000000"/>
              </w:rPr>
              <w:t>MenAfrivac</w:t>
            </w:r>
            <w:proofErr w:type="spellEnd"/>
            <w:r w:rsidRPr="00621BF1">
              <w:rPr>
                <w:rFonts w:eastAsia="Times New Roman" w:cs="Times New Roman"/>
                <w:color w:val="000000"/>
              </w:rPr>
              <w:t>, HPV, VAR2)</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4407A1" w:rsidP="00C37152">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Chef </w:t>
            </w:r>
            <w:proofErr w:type="spellStart"/>
            <w:r w:rsidRPr="00621BF1">
              <w:rPr>
                <w:rFonts w:eastAsia="Times New Roman" w:cs="Times New Roman"/>
                <w:color w:val="000000"/>
                <w:lang w:val="en-US"/>
              </w:rPr>
              <w:t>I</w:t>
            </w:r>
            <w:r w:rsidR="00C37152" w:rsidRPr="00621BF1">
              <w:rPr>
                <w:rFonts w:eastAsia="Times New Roman" w:cs="Times New Roman"/>
                <w:color w:val="000000"/>
                <w:lang w:val="en-US"/>
              </w:rPr>
              <w:t>mmunisation</w:t>
            </w:r>
            <w:proofErr w:type="spellEnd"/>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Organiser la formation  de 100 (1 par FS) agents de santé par an sur la gestion du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rPr>
              <w:t> </w:t>
            </w: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817"/>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Faire participer deux (2) cadres de la CNPEV et 10 cadres des DRS et DPS par an au cours de  </w:t>
            </w:r>
            <w:proofErr w:type="spellStart"/>
            <w:r w:rsidRPr="00621BF1">
              <w:rPr>
                <w:rFonts w:eastAsia="Times New Roman" w:cs="Times New Roman"/>
                <w:color w:val="000000"/>
              </w:rPr>
              <w:t>Vaccinologie</w:t>
            </w:r>
            <w:proofErr w:type="spellEnd"/>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rPr>
              <w:t> </w:t>
            </w: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Organiser au niveau national la formation d’un pool de formateurs sur la gestion du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Chef section suivi-évaluation et recherches</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Former/recycler 80 responsables PEV des DS sur la gestion du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Chef section </w:t>
            </w:r>
            <w:proofErr w:type="spellStart"/>
            <w:r w:rsidRPr="00621BF1">
              <w:rPr>
                <w:rFonts w:eastAsia="Times New Roman" w:cs="Times New Roman"/>
                <w:color w:val="000000"/>
                <w:lang w:val="en-US"/>
              </w:rPr>
              <w:t>immunisation</w:t>
            </w:r>
            <w:proofErr w:type="spellEnd"/>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Former 15 membres du CCIA en technique de Plaidoyer pour la mobilisation des ressources en faveur de la vaccination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Point focal CCIA</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Assurer le paiement des primes de session du CCIA</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CN PEV</w:t>
            </w:r>
          </w:p>
        </w:tc>
        <w:tc>
          <w:tcPr>
            <w:tcW w:w="30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nil"/>
              <w:left w:val="single" w:sz="8" w:space="0" w:color="auto"/>
              <w:bottom w:val="nil"/>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Doter les membres du CCIA de </w:t>
            </w:r>
            <w:r w:rsidR="004407A1" w:rsidRPr="00621BF1">
              <w:rPr>
                <w:rFonts w:eastAsia="Times New Roman" w:cs="Times New Roman"/>
                <w:color w:val="000000"/>
              </w:rPr>
              <w:t>matériels</w:t>
            </w:r>
            <w:r w:rsidRPr="00621BF1">
              <w:rPr>
                <w:rFonts w:eastAsia="Times New Roman" w:cs="Times New Roman"/>
                <w:color w:val="000000"/>
              </w:rPr>
              <w:t xml:space="preserve"> informatiques (15 </w:t>
            </w:r>
            <w:proofErr w:type="spellStart"/>
            <w:r w:rsidRPr="00621BF1">
              <w:rPr>
                <w:rFonts w:eastAsia="Times New Roman" w:cs="Times New Roman"/>
                <w:color w:val="000000"/>
              </w:rPr>
              <w:t>laptops</w:t>
            </w:r>
            <w:proofErr w:type="spellEnd"/>
            <w:r w:rsidRPr="00621BF1">
              <w:rPr>
                <w:rFonts w:eastAsia="Times New Roman" w:cs="Times New Roman"/>
                <w:color w:val="000000"/>
              </w:rPr>
              <w:t xml:space="preserve">, </w:t>
            </w:r>
            <w:r w:rsidR="004407A1" w:rsidRPr="00621BF1">
              <w:rPr>
                <w:rFonts w:eastAsia="Times New Roman" w:cs="Times New Roman"/>
                <w:color w:val="000000"/>
              </w:rPr>
              <w:t>clés</w:t>
            </w:r>
            <w:r w:rsidRPr="00621BF1">
              <w:rPr>
                <w:rFonts w:eastAsia="Times New Roman" w:cs="Times New Roman"/>
                <w:color w:val="000000"/>
              </w:rPr>
              <w:t xml:space="preserve"> USB)</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Point focal CCIA</w:t>
            </w:r>
          </w:p>
        </w:tc>
        <w:tc>
          <w:tcPr>
            <w:tcW w:w="305"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FFFFFF"/>
            <w:noWrap/>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943"/>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7152" w:rsidRPr="00621BF1" w:rsidRDefault="00C37152" w:rsidP="00C37152">
            <w:pPr>
              <w:spacing w:after="0" w:line="240" w:lineRule="auto"/>
              <w:jc w:val="center"/>
              <w:rPr>
                <w:rFonts w:eastAsia="Times New Roman" w:cs="Times New Roman"/>
                <w:color w:val="000000"/>
              </w:rPr>
            </w:pPr>
            <w:r w:rsidRPr="00621BF1">
              <w:rPr>
                <w:rFonts w:eastAsia="Times New Roman" w:cs="Times New Roman"/>
                <w:color w:val="000000"/>
              </w:rPr>
              <w:t>Développement des mécanismes innovants et durables de mobilisation de ressources et de sécurisation des crédits destinés à l’achat des vaccins et matériels d’injection</w:t>
            </w: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Faire le plaidoyer auprès de tous les acteurs impliqués dans le processus d’élaboration et de la mise en œuvre du budget  de l’Etat </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Coordinateur</w:t>
            </w:r>
            <w:proofErr w:type="spellEnd"/>
            <w:r w:rsidRPr="00621BF1">
              <w:rPr>
                <w:rFonts w:eastAsia="Times New Roman" w:cs="Times New Roman"/>
                <w:color w:val="000000"/>
                <w:lang w:val="en-US"/>
              </w:rPr>
              <w:t xml:space="preserve"> du PEV</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61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Déposer à temps les demandes de régulation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rPr>
              <w:t xml:space="preserve">       </w:t>
            </w:r>
            <w:r w:rsidRPr="00621BF1">
              <w:rPr>
                <w:rFonts w:eastAsia="Times New Roman" w:cs="Times New Roman"/>
                <w:color w:val="000000"/>
                <w:lang w:val="en-US"/>
              </w:rPr>
              <w:t>DAF/MS</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Renforcer les capacités des cadres  du pool financier sur le CDMT</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Coordinateur</w:t>
            </w:r>
            <w:proofErr w:type="spellEnd"/>
            <w:r w:rsidRPr="00621BF1">
              <w:rPr>
                <w:rFonts w:eastAsia="Times New Roman" w:cs="Times New Roman"/>
                <w:color w:val="000000"/>
                <w:lang w:val="en-US"/>
              </w:rPr>
              <w:t xml:space="preserve"> du PEV</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Adapter l’organigramme du Ministère de la Santé en faisant du PEV une Direction Nationale</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jc w:val="center"/>
              <w:rPr>
                <w:rFonts w:eastAsia="Times New Roman" w:cs="Times New Roman"/>
                <w:color w:val="000000"/>
                <w:lang w:val="en-US"/>
              </w:rPr>
            </w:pPr>
            <w:r w:rsidRPr="00621BF1">
              <w:rPr>
                <w:rFonts w:eastAsia="Times New Roman" w:cs="Times New Roman"/>
                <w:color w:val="000000"/>
                <w:lang w:val="en-US"/>
              </w:rPr>
              <w:t>DRH</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97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 xml:space="preserve">Sensibiliser tous les  acteurs nationaux (institutions républicaines, société civile, communautés, secteur privé) intervenant dans le financement et la mise en </w:t>
            </w:r>
            <w:r w:rsidRPr="00621BF1">
              <w:rPr>
                <w:rFonts w:eastAsia="Times New Roman" w:cs="Times New Roman"/>
                <w:color w:val="000000"/>
              </w:rPr>
              <w:lastRenderedPageBreak/>
              <w:t>œuvre de la vaccination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jc w:val="center"/>
              <w:rPr>
                <w:rFonts w:eastAsia="Times New Roman" w:cs="Times New Roman"/>
                <w:color w:val="000000"/>
                <w:lang w:val="en-US"/>
              </w:rPr>
            </w:pPr>
            <w:r w:rsidRPr="00621BF1">
              <w:rPr>
                <w:rFonts w:eastAsia="Times New Roman" w:cs="Times New Roman"/>
                <w:color w:val="000000"/>
                <w:lang w:val="en-US"/>
              </w:rPr>
              <w:lastRenderedPageBreak/>
              <w:t>CCIA</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Faire le plaidoyer dans le processus d’élaboration du budget national en faveur de la vaccination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Coordinateur</w:t>
            </w:r>
            <w:proofErr w:type="spellEnd"/>
            <w:r w:rsidRPr="00621BF1">
              <w:rPr>
                <w:rFonts w:eastAsia="Times New Roman" w:cs="Times New Roman"/>
                <w:color w:val="000000"/>
                <w:lang w:val="en-US"/>
              </w:rPr>
              <w:t xml:space="preserve"> du PEV</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2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Faire le plaidoyer auprès du secteur privé et des communautés en faveur de la vaccination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jc w:val="center"/>
              <w:rPr>
                <w:rFonts w:eastAsia="Times New Roman" w:cs="Times New Roman"/>
                <w:color w:val="000000"/>
                <w:lang w:val="en-US"/>
              </w:rPr>
            </w:pPr>
            <w:r w:rsidRPr="00621BF1">
              <w:rPr>
                <w:rFonts w:eastAsia="Times New Roman" w:cs="Times New Roman"/>
                <w:color w:val="000000"/>
                <w:lang w:val="en-US"/>
              </w:rPr>
              <w:t>CN-PEV</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Sensibiliser les PTF, les communautés et le secteur privé pour la mobilisation des ressources en faveur de la vaccination</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jc w:val="center"/>
              <w:rPr>
                <w:rFonts w:eastAsia="Times New Roman" w:cs="Times New Roman"/>
                <w:color w:val="000000"/>
                <w:lang w:val="en-US"/>
              </w:rPr>
            </w:pPr>
            <w:r w:rsidRPr="00621BF1">
              <w:rPr>
                <w:rFonts w:eastAsia="Times New Roman" w:cs="Times New Roman"/>
                <w:color w:val="000000"/>
                <w:lang w:val="en-US"/>
              </w:rPr>
              <w:t>CCIA</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105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Réviser le manuel de procédures de gestion financière du Ministère de la Santé en tenant compte des préoccupations du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Coordinateur</w:t>
            </w:r>
            <w:proofErr w:type="spellEnd"/>
            <w:r w:rsidRPr="00621BF1">
              <w:rPr>
                <w:rFonts w:eastAsia="Times New Roman" w:cs="Times New Roman"/>
                <w:color w:val="000000"/>
                <w:lang w:val="en-US"/>
              </w:rPr>
              <w:t xml:space="preserve"> du PEV</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Vulgariser le manuel de procédures de gestion financière révisé</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Coordinateur</w:t>
            </w:r>
            <w:proofErr w:type="spellEnd"/>
            <w:r w:rsidRPr="00621BF1">
              <w:rPr>
                <w:rFonts w:eastAsia="Times New Roman" w:cs="Times New Roman"/>
                <w:color w:val="000000"/>
                <w:lang w:val="en-US"/>
              </w:rPr>
              <w:t xml:space="preserve"> du PEV</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705"/>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Former les acteurs à l’utilisation du manuel de procédures de gestion financière révisé</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Coordinateur</w:t>
            </w:r>
            <w:proofErr w:type="spellEnd"/>
            <w:r w:rsidRPr="00621BF1">
              <w:rPr>
                <w:rFonts w:eastAsia="Times New Roman" w:cs="Times New Roman"/>
                <w:color w:val="000000"/>
                <w:lang w:val="en-US"/>
              </w:rPr>
              <w:t xml:space="preserve"> du PEV</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37152" w:rsidRPr="00621BF1" w:rsidTr="00C37152">
        <w:trPr>
          <w:trHeight w:val="360"/>
        </w:trPr>
        <w:tc>
          <w:tcPr>
            <w:tcW w:w="767" w:type="pct"/>
            <w:vMerge/>
            <w:tcBorders>
              <w:top w:val="nil"/>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C37152" w:rsidRPr="00621BF1" w:rsidRDefault="00C37152" w:rsidP="00C37152">
            <w:pPr>
              <w:spacing w:after="0" w:line="240" w:lineRule="auto"/>
              <w:rPr>
                <w:rFonts w:eastAsia="Times New Roman" w:cs="Times New Roman"/>
                <w:color w:val="000000"/>
                <w:lang w:val="en-US"/>
              </w:rPr>
            </w:pPr>
          </w:p>
        </w:tc>
        <w:tc>
          <w:tcPr>
            <w:tcW w:w="1640"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rPr>
            </w:pPr>
            <w:r w:rsidRPr="00621BF1">
              <w:rPr>
                <w:rFonts w:eastAsia="Times New Roman" w:cs="Times New Roman"/>
                <w:color w:val="000000"/>
              </w:rPr>
              <w:t>Faire l’audit financier du PEV</w:t>
            </w:r>
          </w:p>
        </w:tc>
        <w:tc>
          <w:tcPr>
            <w:tcW w:w="579" w:type="pct"/>
            <w:tcBorders>
              <w:top w:val="nil"/>
              <w:left w:val="nil"/>
              <w:bottom w:val="single" w:sz="8" w:space="0" w:color="auto"/>
              <w:right w:val="single" w:sz="8" w:space="0" w:color="auto"/>
            </w:tcBorders>
            <w:shd w:val="clear" w:color="auto" w:fill="auto"/>
            <w:vAlign w:val="center"/>
            <w:hideMark/>
          </w:tcPr>
          <w:p w:rsidR="00C37152" w:rsidRPr="00621BF1" w:rsidRDefault="00C37152" w:rsidP="00C37152">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Coordinateur</w:t>
            </w:r>
            <w:proofErr w:type="spellEnd"/>
            <w:r w:rsidRPr="00621BF1">
              <w:rPr>
                <w:rFonts w:eastAsia="Times New Roman" w:cs="Times New Roman"/>
                <w:color w:val="000000"/>
                <w:lang w:val="en-US"/>
              </w:rPr>
              <w:t xml:space="preserve"> du PEV</w:t>
            </w:r>
          </w:p>
        </w:tc>
        <w:tc>
          <w:tcPr>
            <w:tcW w:w="30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5"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66"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53"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74" w:type="pct"/>
            <w:tcBorders>
              <w:top w:val="nil"/>
              <w:left w:val="nil"/>
              <w:bottom w:val="single" w:sz="8" w:space="0" w:color="auto"/>
              <w:right w:val="single" w:sz="8" w:space="0" w:color="auto"/>
            </w:tcBorders>
            <w:shd w:val="clear" w:color="000000" w:fill="8497B0"/>
            <w:vAlign w:val="center"/>
            <w:hideMark/>
          </w:tcPr>
          <w:p w:rsidR="00C37152" w:rsidRPr="00621BF1" w:rsidRDefault="00C37152" w:rsidP="00C37152">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bl>
    <w:p w:rsidR="00431B9D" w:rsidRPr="00621BF1" w:rsidRDefault="00431B9D" w:rsidP="00C37152">
      <w:pPr>
        <w:pStyle w:val="Pieddepage"/>
        <w:spacing w:after="120"/>
        <w:jc w:val="both"/>
        <w:rPr>
          <w:rFonts w:cs="Arial"/>
          <w:sz w:val="24"/>
          <w:szCs w:val="24"/>
        </w:rPr>
      </w:pPr>
    </w:p>
    <w:p w:rsidR="00431B9D" w:rsidRPr="00621BF1" w:rsidRDefault="00431B9D" w:rsidP="00431B9D">
      <w:pPr>
        <w:tabs>
          <w:tab w:val="left" w:pos="3433"/>
        </w:tabs>
        <w:rPr>
          <w:lang w:val="fr-BE" w:eastAsia="fr-BE"/>
        </w:rPr>
        <w:sectPr w:rsidR="00431B9D" w:rsidRPr="00621BF1" w:rsidSect="002A5AFB">
          <w:type w:val="continuous"/>
          <w:pgSz w:w="16838" w:h="11906" w:orient="landscape"/>
          <w:pgMar w:top="1440" w:right="1080" w:bottom="1440" w:left="1080" w:header="709" w:footer="709" w:gutter="0"/>
          <w:cols w:space="708"/>
          <w:docGrid w:linePitch="360"/>
        </w:sectPr>
      </w:pPr>
    </w:p>
    <w:p w:rsidR="00431B9D" w:rsidRPr="00621BF1" w:rsidRDefault="00431B9D" w:rsidP="004E32E1">
      <w:pPr>
        <w:pStyle w:val="Titre2"/>
      </w:pPr>
      <w:bookmarkStart w:id="180" w:name="_Toc433367247"/>
      <w:bookmarkStart w:id="181" w:name="_Toc452745791"/>
      <w:bookmarkStart w:id="182" w:name="_Toc452746523"/>
      <w:bookmarkStart w:id="183" w:name="_Toc452747542"/>
      <w:bookmarkStart w:id="184" w:name="_Toc458593666"/>
      <w:r w:rsidRPr="00621BF1">
        <w:lastRenderedPageBreak/>
        <w:t>SUIVI EVALUATION DU PLAN</w:t>
      </w:r>
      <w:bookmarkEnd w:id="180"/>
      <w:bookmarkEnd w:id="181"/>
      <w:bookmarkEnd w:id="182"/>
      <w:bookmarkEnd w:id="183"/>
      <w:bookmarkEnd w:id="184"/>
    </w:p>
    <w:p w:rsidR="00431B9D" w:rsidRPr="00621BF1" w:rsidRDefault="00431B9D" w:rsidP="004E32E1">
      <w:pPr>
        <w:pStyle w:val="Titre3"/>
      </w:pPr>
      <w:bookmarkStart w:id="185" w:name="_Toc452745792"/>
      <w:bookmarkStart w:id="186" w:name="_Toc452746524"/>
      <w:bookmarkStart w:id="187" w:name="_Toc452747543"/>
      <w:bookmarkStart w:id="188" w:name="_Toc458593667"/>
      <w:r w:rsidRPr="00621BF1">
        <w:t>Cadre de Suivi et Evaluation du PPAC 2016-2020</w:t>
      </w:r>
      <w:bookmarkEnd w:id="185"/>
      <w:bookmarkEnd w:id="186"/>
      <w:bookmarkEnd w:id="187"/>
      <w:bookmarkEnd w:id="188"/>
    </w:p>
    <w:p w:rsidR="00431B9D" w:rsidRPr="00621BF1" w:rsidRDefault="00A76AE5" w:rsidP="00431B9D">
      <w:pPr>
        <w:autoSpaceDE w:val="0"/>
        <w:autoSpaceDN w:val="0"/>
        <w:adjustRightInd w:val="0"/>
        <w:spacing w:after="120"/>
        <w:ind w:right="-424"/>
        <w:jc w:val="both"/>
        <w:rPr>
          <w:rFonts w:cs="TimesNewRomanPSMT"/>
        </w:rPr>
      </w:pPr>
      <w:r w:rsidRPr="00621BF1">
        <w:rPr>
          <w:rFonts w:cs="TimesNewRomanPSMT"/>
        </w:rPr>
        <w:t>Le Ministère est le principal responsable chargé du suivi de la mise en œuvre des stratégies et activités déclinées dans le présent plan quinquennal (2016-2020). Il est techniquement appuyé par  la Coordination nationale du programme Elargi de Vaccination. Un plan biannuel (2016-2017), issu du plan quinquennal, est élaboré pour faciliter le suivi de la mise en œuvre du plan global. Ce plan biannuel comporte entre autres les objectifs à atteindre, le chronogramme d’activités, le coût de l’activité et l’entité responsable de sa mise en œuvre. Un plan de Suivi et Evaluation, y compris son plan d’action, sera élaboré afin d’orienter la mise en œuvre des interventions de suivi et évaluation. Ce plan comportera : (i) la description des rôles et responsabilités des différents acteurs impliqués dans le suivi et évaluation, (ii) le mécanisme de collecte, d’analyse et remontée des données, (iii) le calendrier de rapportage, (iv) le plan d’évaluation, (v) la matrice des indicateurs, (vi) le mécanisme de retro information, (vii) le plan d’évaluation, (viii) l’agenda de recherche, (ix) le plan d’action du plan de suivi et Evaluation, etc. Des revues semestrielles et annuelles qui seront effectuées par les PEV et ses partenaires  seront mises à profit pour évaluer les progrès réalisés dans l’atteinte des résultats escomptes et d’en identifier les principaux problèmes de mise en œuvre. Ceci permettre l’évaluation de la performance, le réajustement des stratégies, ainsi que des plans d’action annuels. Ainsi, le tableau ci-dessous constitue la matrice simple des indicateurs qui permettront le suivi et l’évaluation du PPAC 2016-2020</w:t>
      </w:r>
      <w:r w:rsidR="004E32E1" w:rsidRPr="00621BF1">
        <w:rPr>
          <w:rFonts w:cs="TimesNewRomanPSMT"/>
        </w:rPr>
        <w:t>.</w:t>
      </w:r>
    </w:p>
    <w:p w:rsidR="00431B9D" w:rsidRPr="00621BF1" w:rsidRDefault="00431B9D" w:rsidP="00431B9D">
      <w:pPr>
        <w:autoSpaceDE w:val="0"/>
        <w:autoSpaceDN w:val="0"/>
        <w:adjustRightInd w:val="0"/>
        <w:spacing w:after="120"/>
        <w:ind w:right="-424"/>
        <w:jc w:val="both"/>
        <w:rPr>
          <w:rFonts w:cs="TimesNewRomanPSMT"/>
        </w:rPr>
      </w:pPr>
      <w:r w:rsidRPr="00621BF1">
        <w:rPr>
          <w:rFonts w:cs="TimesNewRomanPSMT"/>
        </w:rPr>
        <w:t>Sur le plan institutionnel, le Comité de Coordination Inter Agence (CCIA) pour le PEV sera chargé de mobiliser les fonds et autres moyens de mise en œuvre nécessaires afin de permettre au programme d’atteindre les objectifs assignés. Il devra aussi jouer un rôle de supervision et de suivi de la mise en œuvre du  PPAC et s’assurer que les fonds alloués au PEV sont gérés de façon transparente. L’augmentation annuelle de la couverture vaccinale du PEV ainsi que la mise à jour des données de mortalité et morbidité, de réduction des taux de perte en vaccin et des taux d’abandon sont autant d’indicateurs de proximités que le CCIA pourra utiliser pour suivre régulièrement les performances du PEV et actualiser le PPAC. Le rapport de progrès sera régulièrement porté à la connaissance des membres du CCIA.</w:t>
      </w:r>
    </w:p>
    <w:p w:rsidR="00551F1A" w:rsidRPr="00621BF1" w:rsidRDefault="00551F1A" w:rsidP="00431B9D">
      <w:pPr>
        <w:autoSpaceDE w:val="0"/>
        <w:autoSpaceDN w:val="0"/>
        <w:adjustRightInd w:val="0"/>
        <w:spacing w:after="120"/>
        <w:ind w:right="-424"/>
        <w:jc w:val="both"/>
        <w:rPr>
          <w:rFonts w:cs="TimesNewRomanPSMT"/>
        </w:rPr>
      </w:pPr>
    </w:p>
    <w:p w:rsidR="00551F1A" w:rsidRPr="00621BF1" w:rsidRDefault="00551F1A" w:rsidP="00431B9D">
      <w:pPr>
        <w:autoSpaceDE w:val="0"/>
        <w:autoSpaceDN w:val="0"/>
        <w:adjustRightInd w:val="0"/>
        <w:spacing w:after="120"/>
        <w:ind w:right="-424"/>
        <w:jc w:val="both"/>
        <w:rPr>
          <w:rFonts w:cs="TimesNewRomanPSMT"/>
        </w:rPr>
      </w:pPr>
    </w:p>
    <w:p w:rsidR="004F157B" w:rsidRPr="00621BF1" w:rsidRDefault="004F157B" w:rsidP="00431B9D">
      <w:pPr>
        <w:autoSpaceDE w:val="0"/>
        <w:autoSpaceDN w:val="0"/>
        <w:adjustRightInd w:val="0"/>
        <w:spacing w:after="120"/>
        <w:ind w:right="-424"/>
        <w:jc w:val="both"/>
        <w:rPr>
          <w:rFonts w:cs="TimesNewRomanPSMT"/>
        </w:rPr>
        <w:sectPr w:rsidR="004F157B" w:rsidRPr="00621BF1" w:rsidSect="002A5AFB">
          <w:type w:val="continuous"/>
          <w:pgSz w:w="12240" w:h="15840"/>
          <w:pgMar w:top="1440" w:right="1080" w:bottom="1440" w:left="1080" w:header="720" w:footer="720" w:gutter="0"/>
          <w:cols w:space="720"/>
          <w:docGrid w:linePitch="360"/>
        </w:sectPr>
      </w:pPr>
    </w:p>
    <w:p w:rsidR="00431B9D" w:rsidRPr="00621BF1" w:rsidRDefault="00431B9D" w:rsidP="004E32E1">
      <w:pPr>
        <w:pStyle w:val="Titre3"/>
      </w:pPr>
      <w:bookmarkStart w:id="189" w:name="_Toc452745793"/>
      <w:bookmarkStart w:id="190" w:name="_Toc452746525"/>
      <w:bookmarkStart w:id="191" w:name="_Toc452747544"/>
      <w:bookmarkStart w:id="192" w:name="_Toc458593668"/>
      <w:r w:rsidRPr="00621BF1">
        <w:lastRenderedPageBreak/>
        <w:t>Matrice des indicateurs</w:t>
      </w:r>
      <w:bookmarkEnd w:id="189"/>
      <w:bookmarkEnd w:id="190"/>
      <w:bookmarkEnd w:id="191"/>
      <w:bookmarkEnd w:id="192"/>
      <w:r w:rsidRPr="00621BF1">
        <w:t xml:space="preserve"> </w:t>
      </w:r>
    </w:p>
    <w:p w:rsidR="00A76AE5" w:rsidRPr="00621BF1" w:rsidRDefault="00A76AE5" w:rsidP="00431B9D">
      <w:pPr>
        <w:pStyle w:val="Lgende"/>
      </w:pPr>
    </w:p>
    <w:p w:rsidR="00A76AE5" w:rsidRPr="00621BF1" w:rsidRDefault="00A76AE5" w:rsidP="00A76AE5">
      <w:pPr>
        <w:pStyle w:val="Lgende"/>
      </w:pPr>
      <w:bookmarkStart w:id="193" w:name="_Toc456109493"/>
      <w:r w:rsidRPr="00621BF1">
        <w:t xml:space="preserve">Tableau </w:t>
      </w:r>
      <w:r w:rsidR="00B51B2E" w:rsidRPr="00621BF1">
        <w:fldChar w:fldCharType="begin"/>
      </w:r>
      <w:r w:rsidRPr="00621BF1">
        <w:instrText xml:space="preserve"> SEQ Tableau \* ARABIC </w:instrText>
      </w:r>
      <w:r w:rsidR="00B51B2E" w:rsidRPr="00621BF1">
        <w:fldChar w:fldCharType="separate"/>
      </w:r>
      <w:r w:rsidR="00DC4EEF">
        <w:rPr>
          <w:noProof/>
        </w:rPr>
        <w:t>27</w:t>
      </w:r>
      <w:r w:rsidR="00B51B2E" w:rsidRPr="00621BF1">
        <w:fldChar w:fldCharType="end"/>
      </w:r>
      <w:r w:rsidRPr="00621BF1">
        <w:t>: Matrices des indicateurs de suivi du PPAC 2016-2020</w:t>
      </w:r>
      <w:bookmarkEnd w:id="193"/>
    </w:p>
    <w:p w:rsidR="00A76AE5" w:rsidRPr="00621BF1" w:rsidRDefault="00A76AE5" w:rsidP="00A76AE5">
      <w:pPr>
        <w:rPr>
          <w:sz w:val="4"/>
          <w:lang w:val="fr-BE"/>
        </w:rPr>
      </w:pPr>
    </w:p>
    <w:tbl>
      <w:tblPr>
        <w:tblW w:w="5031" w:type="pct"/>
        <w:tblLayout w:type="fixed"/>
        <w:tblLook w:val="04A0" w:firstRow="1" w:lastRow="0" w:firstColumn="1" w:lastColumn="0" w:noHBand="0" w:noVBand="1"/>
      </w:tblPr>
      <w:tblGrid>
        <w:gridCol w:w="5201"/>
        <w:gridCol w:w="1415"/>
        <w:gridCol w:w="1328"/>
        <w:gridCol w:w="1358"/>
        <w:gridCol w:w="740"/>
        <w:gridCol w:w="740"/>
        <w:gridCol w:w="740"/>
        <w:gridCol w:w="695"/>
        <w:gridCol w:w="695"/>
        <w:gridCol w:w="2074"/>
      </w:tblGrid>
      <w:tr w:rsidR="00C64E1B" w:rsidRPr="00621BF1" w:rsidTr="005D2ED1">
        <w:trPr>
          <w:trHeight w:val="360"/>
          <w:tblHeader/>
        </w:trPr>
        <w:tc>
          <w:tcPr>
            <w:tcW w:w="1735" w:type="pct"/>
            <w:vMerge w:val="restart"/>
            <w:tcBorders>
              <w:top w:val="single" w:sz="8" w:space="0" w:color="808080"/>
              <w:left w:val="single" w:sz="8" w:space="0" w:color="808080"/>
              <w:bottom w:val="single" w:sz="8" w:space="0" w:color="808080"/>
              <w:right w:val="single" w:sz="8" w:space="0" w:color="808080"/>
            </w:tcBorders>
            <w:shd w:val="clear" w:color="000000" w:fill="943634"/>
            <w:vAlign w:val="center"/>
            <w:hideMark/>
          </w:tcPr>
          <w:p w:rsidR="00C64E1B" w:rsidRPr="00621BF1" w:rsidRDefault="00C64E1B" w:rsidP="00C64E1B">
            <w:pPr>
              <w:spacing w:after="0" w:line="240" w:lineRule="auto"/>
              <w:jc w:val="center"/>
              <w:rPr>
                <w:rFonts w:eastAsia="Times New Roman" w:cs="Times New Roman"/>
                <w:color w:val="FFFFFF"/>
                <w:lang w:val="en-US"/>
              </w:rPr>
            </w:pPr>
            <w:proofErr w:type="spellStart"/>
            <w:r w:rsidRPr="00621BF1">
              <w:rPr>
                <w:rFonts w:eastAsia="Times New Roman" w:cs="Times New Roman"/>
                <w:color w:val="FFFFFF"/>
                <w:lang w:val="en-US"/>
              </w:rPr>
              <w:t>Indicateurs</w:t>
            </w:r>
            <w:proofErr w:type="spellEnd"/>
          </w:p>
        </w:tc>
        <w:tc>
          <w:tcPr>
            <w:tcW w:w="472" w:type="pct"/>
            <w:vMerge w:val="restart"/>
            <w:tcBorders>
              <w:top w:val="single" w:sz="8" w:space="0" w:color="808080"/>
              <w:left w:val="single" w:sz="8" w:space="0" w:color="808080"/>
              <w:bottom w:val="single" w:sz="8" w:space="0" w:color="808080"/>
              <w:right w:val="single" w:sz="8" w:space="0" w:color="808080"/>
            </w:tcBorders>
            <w:shd w:val="clear" w:color="000000" w:fill="943634"/>
            <w:vAlign w:val="center"/>
            <w:hideMark/>
          </w:tcPr>
          <w:p w:rsidR="00C64E1B" w:rsidRPr="00621BF1" w:rsidRDefault="00C64E1B" w:rsidP="00C64E1B">
            <w:pPr>
              <w:spacing w:after="0" w:line="240" w:lineRule="auto"/>
              <w:jc w:val="center"/>
              <w:rPr>
                <w:rFonts w:eastAsia="Times New Roman" w:cs="Times New Roman"/>
                <w:color w:val="FFFFFF"/>
                <w:lang w:val="en-US"/>
              </w:rPr>
            </w:pPr>
            <w:proofErr w:type="spellStart"/>
            <w:r w:rsidRPr="00621BF1">
              <w:rPr>
                <w:rFonts w:eastAsia="Times New Roman" w:cs="Times New Roman"/>
                <w:color w:val="FFFFFF"/>
                <w:lang w:val="en-US"/>
              </w:rPr>
              <w:t>Valeurs</w:t>
            </w:r>
            <w:proofErr w:type="spellEnd"/>
            <w:r w:rsidRPr="00621BF1">
              <w:rPr>
                <w:rFonts w:eastAsia="Times New Roman" w:cs="Times New Roman"/>
                <w:color w:val="FFFFFF"/>
                <w:lang w:val="en-US"/>
              </w:rPr>
              <w:t xml:space="preserve"> de base</w:t>
            </w:r>
          </w:p>
        </w:tc>
        <w:tc>
          <w:tcPr>
            <w:tcW w:w="443" w:type="pct"/>
            <w:vMerge w:val="restart"/>
            <w:tcBorders>
              <w:top w:val="single" w:sz="8" w:space="0" w:color="808080"/>
              <w:left w:val="single" w:sz="8" w:space="0" w:color="808080"/>
              <w:bottom w:val="single" w:sz="8" w:space="0" w:color="808080"/>
              <w:right w:val="single" w:sz="8" w:space="0" w:color="808080"/>
            </w:tcBorders>
            <w:shd w:val="clear" w:color="000000" w:fill="943634"/>
            <w:vAlign w:val="center"/>
            <w:hideMark/>
          </w:tcPr>
          <w:p w:rsidR="00C64E1B" w:rsidRPr="00621BF1" w:rsidRDefault="00C64E1B" w:rsidP="00C64E1B">
            <w:pPr>
              <w:spacing w:after="0" w:line="240" w:lineRule="auto"/>
              <w:jc w:val="center"/>
              <w:rPr>
                <w:rFonts w:eastAsia="Times New Roman" w:cs="Times New Roman"/>
                <w:color w:val="FFFFFF"/>
                <w:lang w:val="en-US"/>
              </w:rPr>
            </w:pPr>
            <w:proofErr w:type="spellStart"/>
            <w:r w:rsidRPr="00621BF1">
              <w:rPr>
                <w:rFonts w:eastAsia="Times New Roman" w:cs="Times New Roman"/>
                <w:color w:val="FFFFFF"/>
                <w:lang w:val="en-US"/>
              </w:rPr>
              <w:t>Années</w:t>
            </w:r>
            <w:proofErr w:type="spellEnd"/>
            <w:r w:rsidRPr="00621BF1">
              <w:rPr>
                <w:rFonts w:eastAsia="Times New Roman" w:cs="Times New Roman"/>
                <w:color w:val="FFFFFF"/>
                <w:lang w:val="en-US"/>
              </w:rPr>
              <w:t xml:space="preserve"> de base</w:t>
            </w:r>
          </w:p>
        </w:tc>
        <w:tc>
          <w:tcPr>
            <w:tcW w:w="453" w:type="pct"/>
            <w:vMerge w:val="restart"/>
            <w:tcBorders>
              <w:top w:val="single" w:sz="8" w:space="0" w:color="808080"/>
              <w:left w:val="single" w:sz="8" w:space="0" w:color="808080"/>
              <w:bottom w:val="single" w:sz="8" w:space="0" w:color="808080"/>
              <w:right w:val="single" w:sz="8" w:space="0" w:color="808080"/>
            </w:tcBorders>
            <w:shd w:val="clear" w:color="000000" w:fill="943634"/>
            <w:vAlign w:val="center"/>
            <w:hideMark/>
          </w:tcPr>
          <w:p w:rsidR="00C64E1B" w:rsidRPr="00621BF1" w:rsidRDefault="00C64E1B" w:rsidP="00C64E1B">
            <w:pPr>
              <w:spacing w:after="0" w:line="240" w:lineRule="auto"/>
              <w:jc w:val="center"/>
              <w:rPr>
                <w:rFonts w:eastAsia="Times New Roman" w:cs="Times New Roman"/>
                <w:color w:val="FFFFFF"/>
                <w:lang w:val="en-US"/>
              </w:rPr>
            </w:pPr>
            <w:proofErr w:type="spellStart"/>
            <w:r w:rsidRPr="00621BF1">
              <w:rPr>
                <w:rFonts w:eastAsia="Times New Roman" w:cs="Times New Roman"/>
                <w:color w:val="FFFFFF"/>
                <w:lang w:val="en-US"/>
              </w:rPr>
              <w:t>Fréquence</w:t>
            </w:r>
            <w:proofErr w:type="spellEnd"/>
          </w:p>
        </w:tc>
        <w:tc>
          <w:tcPr>
            <w:tcW w:w="1205" w:type="pct"/>
            <w:gridSpan w:val="5"/>
            <w:tcBorders>
              <w:top w:val="single" w:sz="8" w:space="0" w:color="808080"/>
              <w:left w:val="nil"/>
              <w:bottom w:val="single" w:sz="8" w:space="0" w:color="808080"/>
              <w:right w:val="single" w:sz="8" w:space="0" w:color="808080"/>
            </w:tcBorders>
            <w:shd w:val="clear" w:color="000000" w:fill="943634"/>
            <w:vAlign w:val="center"/>
            <w:hideMark/>
          </w:tcPr>
          <w:p w:rsidR="00C64E1B" w:rsidRPr="00621BF1" w:rsidRDefault="00C64E1B" w:rsidP="00C64E1B">
            <w:pPr>
              <w:spacing w:after="0" w:line="240" w:lineRule="auto"/>
              <w:jc w:val="center"/>
              <w:rPr>
                <w:rFonts w:eastAsia="Times New Roman" w:cs="Times New Roman"/>
                <w:color w:val="FFFFFF"/>
                <w:lang w:val="en-US"/>
              </w:rPr>
            </w:pPr>
            <w:proofErr w:type="spellStart"/>
            <w:r w:rsidRPr="00621BF1">
              <w:rPr>
                <w:rFonts w:eastAsia="Times New Roman" w:cs="Times New Roman"/>
                <w:color w:val="FFFFFF"/>
                <w:lang w:val="en-US"/>
              </w:rPr>
              <w:t>Cibles</w:t>
            </w:r>
            <w:proofErr w:type="spellEnd"/>
          </w:p>
        </w:tc>
        <w:tc>
          <w:tcPr>
            <w:tcW w:w="692" w:type="pct"/>
            <w:vMerge w:val="restart"/>
            <w:tcBorders>
              <w:top w:val="single" w:sz="8" w:space="0" w:color="808080"/>
              <w:left w:val="single" w:sz="8" w:space="0" w:color="808080"/>
              <w:bottom w:val="single" w:sz="8" w:space="0" w:color="808080"/>
              <w:right w:val="single" w:sz="8" w:space="0" w:color="808080"/>
            </w:tcBorders>
            <w:shd w:val="clear" w:color="000000" w:fill="943634"/>
            <w:vAlign w:val="center"/>
            <w:hideMark/>
          </w:tcPr>
          <w:p w:rsidR="00C64E1B" w:rsidRPr="00621BF1" w:rsidRDefault="00C64E1B" w:rsidP="00C64E1B">
            <w:pPr>
              <w:spacing w:after="0" w:line="240" w:lineRule="auto"/>
              <w:jc w:val="center"/>
              <w:rPr>
                <w:rFonts w:eastAsia="Times New Roman" w:cs="Times New Roman"/>
                <w:color w:val="FFFFFF"/>
              </w:rPr>
            </w:pPr>
            <w:r w:rsidRPr="00621BF1">
              <w:rPr>
                <w:rFonts w:eastAsia="Times New Roman" w:cs="Times New Roman"/>
                <w:color w:val="FFFFFF"/>
              </w:rPr>
              <w:t>Sources de vérification des données</w:t>
            </w:r>
          </w:p>
        </w:tc>
      </w:tr>
      <w:tr w:rsidR="00C64E1B" w:rsidRPr="00621BF1" w:rsidTr="005D2ED1">
        <w:trPr>
          <w:trHeight w:val="360"/>
          <w:tblHeader/>
        </w:trPr>
        <w:tc>
          <w:tcPr>
            <w:tcW w:w="1735" w:type="pct"/>
            <w:vMerge/>
            <w:tcBorders>
              <w:top w:val="single" w:sz="8" w:space="0" w:color="808080"/>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FFFFFF"/>
              </w:rPr>
            </w:pPr>
          </w:p>
        </w:tc>
        <w:tc>
          <w:tcPr>
            <w:tcW w:w="472" w:type="pct"/>
            <w:vMerge/>
            <w:tcBorders>
              <w:top w:val="single" w:sz="8" w:space="0" w:color="808080"/>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FFFFFF"/>
              </w:rPr>
            </w:pPr>
          </w:p>
        </w:tc>
        <w:tc>
          <w:tcPr>
            <w:tcW w:w="443" w:type="pct"/>
            <w:vMerge/>
            <w:tcBorders>
              <w:top w:val="single" w:sz="8" w:space="0" w:color="808080"/>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FFFFFF"/>
              </w:rPr>
            </w:pPr>
          </w:p>
        </w:tc>
        <w:tc>
          <w:tcPr>
            <w:tcW w:w="453" w:type="pct"/>
            <w:vMerge/>
            <w:tcBorders>
              <w:top w:val="single" w:sz="8" w:space="0" w:color="808080"/>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FFFFFF"/>
              </w:rPr>
            </w:pPr>
          </w:p>
        </w:tc>
        <w:tc>
          <w:tcPr>
            <w:tcW w:w="247" w:type="pct"/>
            <w:tcBorders>
              <w:top w:val="nil"/>
              <w:left w:val="nil"/>
              <w:bottom w:val="single" w:sz="8" w:space="0" w:color="808080"/>
              <w:right w:val="single" w:sz="8" w:space="0" w:color="808080"/>
            </w:tcBorders>
            <w:shd w:val="clear" w:color="000000" w:fill="F4B084"/>
            <w:vAlign w:val="center"/>
            <w:hideMark/>
          </w:tcPr>
          <w:p w:rsidR="00C64E1B" w:rsidRPr="00621BF1" w:rsidRDefault="00C64E1B" w:rsidP="00C64E1B">
            <w:pPr>
              <w:spacing w:after="0" w:line="240" w:lineRule="auto"/>
              <w:jc w:val="center"/>
              <w:rPr>
                <w:rFonts w:eastAsia="Times New Roman" w:cs="Times New Roman"/>
                <w:color w:val="FFFFFF"/>
                <w:lang w:val="en-US"/>
              </w:rPr>
            </w:pPr>
            <w:r w:rsidRPr="00621BF1">
              <w:rPr>
                <w:rFonts w:eastAsia="Times New Roman" w:cs="Times New Roman"/>
                <w:color w:val="FFFFFF"/>
                <w:lang w:val="en-US"/>
              </w:rPr>
              <w:t>2016</w:t>
            </w:r>
          </w:p>
        </w:tc>
        <w:tc>
          <w:tcPr>
            <w:tcW w:w="247" w:type="pct"/>
            <w:tcBorders>
              <w:top w:val="nil"/>
              <w:left w:val="nil"/>
              <w:bottom w:val="single" w:sz="8" w:space="0" w:color="808080"/>
              <w:right w:val="single" w:sz="8" w:space="0" w:color="808080"/>
            </w:tcBorders>
            <w:shd w:val="clear" w:color="000000" w:fill="F4B084"/>
            <w:vAlign w:val="center"/>
            <w:hideMark/>
          </w:tcPr>
          <w:p w:rsidR="00C64E1B" w:rsidRPr="00621BF1" w:rsidRDefault="00C64E1B" w:rsidP="00C64E1B">
            <w:pPr>
              <w:spacing w:after="0" w:line="240" w:lineRule="auto"/>
              <w:jc w:val="center"/>
              <w:rPr>
                <w:rFonts w:eastAsia="Times New Roman" w:cs="Times New Roman"/>
                <w:color w:val="FFFFFF"/>
                <w:lang w:val="en-US"/>
              </w:rPr>
            </w:pPr>
            <w:r w:rsidRPr="00621BF1">
              <w:rPr>
                <w:rFonts w:eastAsia="Times New Roman" w:cs="Times New Roman"/>
                <w:color w:val="FFFFFF"/>
                <w:lang w:val="en-US"/>
              </w:rPr>
              <w:t>2017</w:t>
            </w:r>
          </w:p>
        </w:tc>
        <w:tc>
          <w:tcPr>
            <w:tcW w:w="247" w:type="pct"/>
            <w:tcBorders>
              <w:top w:val="nil"/>
              <w:left w:val="nil"/>
              <w:bottom w:val="single" w:sz="8" w:space="0" w:color="808080"/>
              <w:right w:val="single" w:sz="8" w:space="0" w:color="808080"/>
            </w:tcBorders>
            <w:shd w:val="clear" w:color="000000" w:fill="F4B084"/>
            <w:vAlign w:val="center"/>
            <w:hideMark/>
          </w:tcPr>
          <w:p w:rsidR="00C64E1B" w:rsidRPr="00621BF1" w:rsidRDefault="00C64E1B" w:rsidP="00C64E1B">
            <w:pPr>
              <w:spacing w:after="0" w:line="240" w:lineRule="auto"/>
              <w:jc w:val="center"/>
              <w:rPr>
                <w:rFonts w:eastAsia="Times New Roman" w:cs="Times New Roman"/>
                <w:color w:val="FFFFFF"/>
                <w:lang w:val="en-US"/>
              </w:rPr>
            </w:pPr>
            <w:r w:rsidRPr="00621BF1">
              <w:rPr>
                <w:rFonts w:eastAsia="Times New Roman" w:cs="Times New Roman"/>
                <w:color w:val="FFFFFF"/>
                <w:lang w:val="en-US"/>
              </w:rPr>
              <w:t>2018</w:t>
            </w:r>
          </w:p>
        </w:tc>
        <w:tc>
          <w:tcPr>
            <w:tcW w:w="232" w:type="pct"/>
            <w:tcBorders>
              <w:top w:val="nil"/>
              <w:left w:val="nil"/>
              <w:bottom w:val="single" w:sz="8" w:space="0" w:color="808080"/>
              <w:right w:val="single" w:sz="8" w:space="0" w:color="808080"/>
            </w:tcBorders>
            <w:shd w:val="clear" w:color="000000" w:fill="F4B084"/>
            <w:vAlign w:val="center"/>
            <w:hideMark/>
          </w:tcPr>
          <w:p w:rsidR="00C64E1B" w:rsidRPr="00621BF1" w:rsidRDefault="00C64E1B" w:rsidP="00C64E1B">
            <w:pPr>
              <w:spacing w:after="0" w:line="240" w:lineRule="auto"/>
              <w:jc w:val="center"/>
              <w:rPr>
                <w:rFonts w:eastAsia="Times New Roman" w:cs="Times New Roman"/>
                <w:color w:val="FFFFFF"/>
                <w:lang w:val="en-US"/>
              </w:rPr>
            </w:pPr>
            <w:r w:rsidRPr="00621BF1">
              <w:rPr>
                <w:rFonts w:eastAsia="Times New Roman" w:cs="Times New Roman"/>
                <w:color w:val="FFFFFF"/>
                <w:lang w:val="en-US"/>
              </w:rPr>
              <w:t>2019</w:t>
            </w:r>
          </w:p>
        </w:tc>
        <w:tc>
          <w:tcPr>
            <w:tcW w:w="232" w:type="pct"/>
            <w:tcBorders>
              <w:top w:val="nil"/>
              <w:left w:val="nil"/>
              <w:bottom w:val="single" w:sz="8" w:space="0" w:color="808080"/>
              <w:right w:val="single" w:sz="8" w:space="0" w:color="808080"/>
            </w:tcBorders>
            <w:shd w:val="clear" w:color="000000" w:fill="F4B084"/>
            <w:vAlign w:val="center"/>
            <w:hideMark/>
          </w:tcPr>
          <w:p w:rsidR="00C64E1B" w:rsidRPr="00621BF1" w:rsidRDefault="00C64E1B" w:rsidP="00C64E1B">
            <w:pPr>
              <w:spacing w:after="0" w:line="240" w:lineRule="auto"/>
              <w:jc w:val="center"/>
              <w:rPr>
                <w:rFonts w:eastAsia="Times New Roman" w:cs="Times New Roman"/>
                <w:color w:val="FFFFFF"/>
                <w:lang w:val="en-US"/>
              </w:rPr>
            </w:pPr>
            <w:r w:rsidRPr="00621BF1">
              <w:rPr>
                <w:rFonts w:eastAsia="Times New Roman" w:cs="Times New Roman"/>
                <w:color w:val="FFFFFF"/>
                <w:lang w:val="en-US"/>
              </w:rPr>
              <w:t>2020</w:t>
            </w:r>
          </w:p>
        </w:tc>
        <w:tc>
          <w:tcPr>
            <w:tcW w:w="692" w:type="pct"/>
            <w:vMerge/>
            <w:tcBorders>
              <w:top w:val="single" w:sz="8" w:space="0" w:color="808080"/>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FFFFFF"/>
                <w:lang w:val="en-US"/>
              </w:rPr>
            </w:pPr>
          </w:p>
        </w:tc>
      </w:tr>
      <w:tr w:rsidR="00C64E1B" w:rsidRPr="00621BF1" w:rsidTr="00C64E1B">
        <w:trPr>
          <w:trHeight w:val="360"/>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jc w:val="both"/>
              <w:rPr>
                <w:rFonts w:eastAsia="Times New Roman" w:cs="Times New Roman"/>
                <w:b/>
                <w:bCs/>
                <w:color w:val="000000"/>
              </w:rPr>
            </w:pPr>
            <w:r w:rsidRPr="00621BF1">
              <w:rPr>
                <w:rFonts w:eastAsia="Times New Roman" w:cs="Times New Roman"/>
                <w:b/>
                <w:bCs/>
                <w:color w:val="000000"/>
              </w:rPr>
              <w:t>Objectif 1</w:t>
            </w:r>
            <w:r w:rsidRPr="00621BF1">
              <w:rPr>
                <w:rFonts w:eastAsia="Times New Roman" w:cs="Times New Roman"/>
                <w:color w:val="000000"/>
              </w:rPr>
              <w:t>:D’ici à 2020, augmenter la couverture des enfants complètement vaccinés (DTC3-Hepb3/Hib3 et en VAR) de 53,4% à au moins 90% au niveau national et  à 80% dans tous les 38 districts sanitaires  de façon équitable</w:t>
            </w:r>
          </w:p>
        </w:tc>
      </w:tr>
      <w:tr w:rsidR="00C64E1B" w:rsidRPr="00621BF1" w:rsidTr="005D2ED1">
        <w:trPr>
          <w:trHeight w:val="78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postes de santé/ structures privées  érigés en sites fixes de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0</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150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150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d'</w:t>
            </w:r>
            <w:proofErr w:type="spellStart"/>
            <w:r w:rsidRPr="00621BF1">
              <w:rPr>
                <w:rFonts w:eastAsia="Times New Roman" w:cs="Times New Roman"/>
                <w:color w:val="000000"/>
              </w:rPr>
              <w:t>activites</w:t>
            </w:r>
            <w:proofErr w:type="spellEnd"/>
            <w:r w:rsidRPr="00621BF1">
              <w:rPr>
                <w:rFonts w:eastAsia="Times New Roman" w:cs="Times New Roman"/>
                <w:color w:val="000000"/>
              </w:rPr>
              <w:t xml:space="preserve"> du programme PEV</w:t>
            </w:r>
          </w:p>
        </w:tc>
      </w:tr>
      <w:tr w:rsidR="00C64E1B" w:rsidRPr="00621BF1" w:rsidTr="005D2ED1">
        <w:trPr>
          <w:trHeight w:val="943"/>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451C16" w:rsidRDefault="00C64E1B" w:rsidP="00C64E1B">
            <w:pPr>
              <w:spacing w:after="0" w:line="240" w:lineRule="auto"/>
              <w:rPr>
                <w:rFonts w:eastAsia="Times New Roman" w:cs="Times New Roman"/>
                <w:color w:val="000000"/>
              </w:rPr>
            </w:pPr>
            <w:r w:rsidRPr="00451C16">
              <w:rPr>
                <w:rFonts w:eastAsia="Times New Roman" w:cs="Times New Roman"/>
                <w:color w:val="000000"/>
              </w:rPr>
              <w:t>Couverture vaccinale en Penta 3 (DTC-HepB-Hib3)</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66%</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70%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85%</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95%</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Rapport </w:t>
            </w:r>
            <w:proofErr w:type="spellStart"/>
            <w:r w:rsidRPr="00621BF1">
              <w:rPr>
                <w:rFonts w:eastAsia="Times New Roman" w:cs="Times New Roman"/>
                <w:color w:val="000000"/>
              </w:rPr>
              <w:t>enquete</w:t>
            </w:r>
            <w:proofErr w:type="spellEnd"/>
            <w:r w:rsidRPr="00621BF1">
              <w:rPr>
                <w:rFonts w:eastAsia="Times New Roman" w:cs="Times New Roman"/>
                <w:color w:val="000000"/>
              </w:rPr>
              <w:t xml:space="preserve"> de couverture vaccinale/estimation JRF</w:t>
            </w:r>
          </w:p>
        </w:tc>
      </w:tr>
      <w:tr w:rsidR="00C64E1B" w:rsidRPr="00621BF1" w:rsidTr="005D2ED1">
        <w:trPr>
          <w:trHeight w:val="78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Couverture</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vaccinale</w:t>
            </w:r>
            <w:proofErr w:type="spellEnd"/>
            <w:r w:rsidRPr="00621BF1">
              <w:rPr>
                <w:rFonts w:eastAsia="Times New Roman" w:cs="Times New Roman"/>
                <w:color w:val="000000"/>
                <w:lang w:val="en-US"/>
              </w:rPr>
              <w:t xml:space="preserve"> en VAR</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64%</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70%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85%</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95%</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Rapport </w:t>
            </w:r>
            <w:proofErr w:type="spellStart"/>
            <w:r w:rsidRPr="00621BF1">
              <w:rPr>
                <w:rFonts w:eastAsia="Times New Roman" w:cs="Times New Roman"/>
                <w:color w:val="000000"/>
              </w:rPr>
              <w:t>enquete</w:t>
            </w:r>
            <w:proofErr w:type="spellEnd"/>
            <w:r w:rsidRPr="00621BF1">
              <w:rPr>
                <w:rFonts w:eastAsia="Times New Roman" w:cs="Times New Roman"/>
                <w:color w:val="000000"/>
              </w:rPr>
              <w:t xml:space="preserve"> de couverture vaccinale/estimation JRF</w:t>
            </w:r>
          </w:p>
        </w:tc>
      </w:tr>
      <w:tr w:rsidR="00C64E1B" w:rsidRPr="00621BF1" w:rsidTr="005D2ED1">
        <w:trPr>
          <w:trHeight w:val="78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Couverture vaccinale VPH pour le projet de démonstration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ND</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na</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na</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na</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95%</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Rapport </w:t>
            </w:r>
            <w:proofErr w:type="spellStart"/>
            <w:r w:rsidRPr="00621BF1">
              <w:rPr>
                <w:rFonts w:eastAsia="Times New Roman" w:cs="Times New Roman"/>
                <w:color w:val="000000"/>
              </w:rPr>
              <w:t>enquete</w:t>
            </w:r>
            <w:proofErr w:type="spellEnd"/>
            <w:r w:rsidRPr="00621BF1">
              <w:rPr>
                <w:rFonts w:eastAsia="Times New Roman" w:cs="Times New Roman"/>
                <w:color w:val="000000"/>
              </w:rPr>
              <w:t xml:space="preserve"> de couverture vaccinale</w:t>
            </w:r>
          </w:p>
        </w:tc>
      </w:tr>
      <w:tr w:rsidR="00C64E1B" w:rsidRPr="00621BF1" w:rsidTr="005D2ED1">
        <w:trPr>
          <w:trHeight w:val="78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Proportion de districts CV Penta 3 ≥95%</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0%</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60%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Rapport </w:t>
            </w:r>
            <w:proofErr w:type="spellStart"/>
            <w:r w:rsidRPr="00621BF1">
              <w:rPr>
                <w:rFonts w:eastAsia="Times New Roman" w:cs="Times New Roman"/>
                <w:color w:val="000000"/>
              </w:rPr>
              <w:t>enquete</w:t>
            </w:r>
            <w:proofErr w:type="spellEnd"/>
            <w:r w:rsidRPr="00621BF1">
              <w:rPr>
                <w:rFonts w:eastAsia="Times New Roman" w:cs="Times New Roman"/>
                <w:color w:val="000000"/>
              </w:rPr>
              <w:t xml:space="preserve"> de couverture vaccinale</w:t>
            </w:r>
          </w:p>
        </w:tc>
      </w:tr>
      <w:tr w:rsidR="00C64E1B" w:rsidRPr="00621BF1" w:rsidTr="005D2ED1">
        <w:trPr>
          <w:trHeight w:val="78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Proportion de districts CV Penta 3 ≥80%</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26%</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50%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70%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85%</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Rapport </w:t>
            </w:r>
            <w:proofErr w:type="spellStart"/>
            <w:r w:rsidRPr="00621BF1">
              <w:rPr>
                <w:rFonts w:eastAsia="Times New Roman" w:cs="Times New Roman"/>
                <w:color w:val="000000"/>
              </w:rPr>
              <w:t>enquete</w:t>
            </w:r>
            <w:proofErr w:type="spellEnd"/>
            <w:r w:rsidRPr="00621BF1">
              <w:rPr>
                <w:rFonts w:eastAsia="Times New Roman" w:cs="Times New Roman"/>
                <w:color w:val="000000"/>
              </w:rPr>
              <w:t xml:space="preserve"> de couverture vaccinale</w:t>
            </w:r>
          </w:p>
        </w:tc>
      </w:tr>
      <w:tr w:rsidR="00C64E1B" w:rsidRPr="00621BF1" w:rsidTr="005D2ED1">
        <w:trPr>
          <w:trHeight w:val="78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Proportion de districts CV Penta 3 ≥50% et &lt;80%</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63%</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60%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50%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15%</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Rapport </w:t>
            </w:r>
            <w:proofErr w:type="spellStart"/>
            <w:r w:rsidRPr="00621BF1">
              <w:rPr>
                <w:rFonts w:eastAsia="Times New Roman" w:cs="Times New Roman"/>
                <w:color w:val="000000"/>
              </w:rPr>
              <w:t>enquete</w:t>
            </w:r>
            <w:proofErr w:type="spellEnd"/>
            <w:r w:rsidRPr="00621BF1">
              <w:rPr>
                <w:rFonts w:eastAsia="Times New Roman" w:cs="Times New Roman"/>
                <w:color w:val="000000"/>
              </w:rPr>
              <w:t xml:space="preserve"> de couverture vaccinale</w:t>
            </w:r>
          </w:p>
        </w:tc>
      </w:tr>
      <w:tr w:rsidR="00C64E1B" w:rsidRPr="00621BF1" w:rsidTr="005D2ED1">
        <w:trPr>
          <w:trHeight w:val="106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lastRenderedPageBreak/>
              <w:t>CV Penta 3 pour les quintiles le plus pauvre et le plus riche</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25% (Ecart entre quintiles plus pauvre et plus riche)</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2012</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r w:rsidRPr="00621BF1">
              <w:rPr>
                <w:rFonts w:eastAsia="Times New Roman" w:cs="Times New Roman"/>
                <w:color w:val="000000"/>
                <w:lang w:val="en-US"/>
              </w:rPr>
              <w:t>/</w:t>
            </w:r>
            <w:proofErr w:type="spellStart"/>
            <w:r w:rsidRPr="00621BF1">
              <w:rPr>
                <w:rFonts w:eastAsia="Times New Roman" w:cs="Times New Roman"/>
                <w:color w:val="000000"/>
                <w:lang w:val="en-US"/>
              </w:rPr>
              <w:t>Quinquennale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18%</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15%</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12%</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EDS ou Etude d'</w:t>
            </w:r>
            <w:proofErr w:type="spellStart"/>
            <w:r w:rsidRPr="00621BF1">
              <w:rPr>
                <w:rFonts w:eastAsia="Times New Roman" w:cs="Times New Roman"/>
                <w:color w:val="000000"/>
              </w:rPr>
              <w:t>equite</w:t>
            </w:r>
            <w:proofErr w:type="spellEnd"/>
            <w:r w:rsidRPr="00621BF1">
              <w:rPr>
                <w:rFonts w:eastAsia="Times New Roman" w:cs="Times New Roman"/>
                <w:color w:val="000000"/>
              </w:rPr>
              <w:t xml:space="preserve"> sur la vaccination</w:t>
            </w:r>
          </w:p>
        </w:tc>
      </w:tr>
      <w:tr w:rsidR="00C64E1B" w:rsidRPr="00621BF1" w:rsidTr="005D2ED1">
        <w:trPr>
          <w:trHeight w:val="142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CV Penta 3 ventilée par le niveau d’éducation de la mère</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xml:space="preserve">13% (Ecart entre </w:t>
            </w:r>
            <w:proofErr w:type="spellStart"/>
            <w:r w:rsidRPr="00621BF1">
              <w:rPr>
                <w:rFonts w:eastAsia="Times New Roman" w:cs="Times New Roman"/>
                <w:color w:val="000000"/>
              </w:rPr>
              <w:t>mere</w:t>
            </w:r>
            <w:proofErr w:type="spellEnd"/>
            <w:r w:rsidRPr="00621BF1">
              <w:rPr>
                <w:rFonts w:eastAsia="Times New Roman" w:cs="Times New Roman"/>
                <w:color w:val="000000"/>
              </w:rPr>
              <w:t xml:space="preserve"> avec </w:t>
            </w:r>
            <w:proofErr w:type="spellStart"/>
            <w:r w:rsidRPr="00621BF1">
              <w:rPr>
                <w:rFonts w:eastAsia="Times New Roman" w:cs="Times New Roman"/>
                <w:color w:val="000000"/>
              </w:rPr>
              <w:t>education</w:t>
            </w:r>
            <w:proofErr w:type="spellEnd"/>
            <w:r w:rsidRPr="00621BF1">
              <w:rPr>
                <w:rFonts w:eastAsia="Times New Roman" w:cs="Times New Roman"/>
                <w:color w:val="000000"/>
              </w:rPr>
              <w:t xml:space="preserve"> primaire et secondaire)</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2012</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r w:rsidRPr="00621BF1">
              <w:rPr>
                <w:rFonts w:eastAsia="Times New Roman" w:cs="Times New Roman"/>
                <w:color w:val="000000"/>
                <w:lang w:val="en-US"/>
              </w:rPr>
              <w:t>/</w:t>
            </w:r>
            <w:proofErr w:type="spellStart"/>
            <w:r w:rsidRPr="00621BF1">
              <w:rPr>
                <w:rFonts w:eastAsia="Times New Roman" w:cs="Times New Roman"/>
                <w:color w:val="000000"/>
                <w:lang w:val="en-US"/>
              </w:rPr>
              <w:t>Quinquennale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12%</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11%</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EDS ou Etude d'</w:t>
            </w:r>
            <w:proofErr w:type="spellStart"/>
            <w:r w:rsidRPr="00621BF1">
              <w:rPr>
                <w:rFonts w:eastAsia="Times New Roman" w:cs="Times New Roman"/>
                <w:color w:val="000000"/>
              </w:rPr>
              <w:t>equite</w:t>
            </w:r>
            <w:proofErr w:type="spellEnd"/>
            <w:r w:rsidRPr="00621BF1">
              <w:rPr>
                <w:rFonts w:eastAsia="Times New Roman" w:cs="Times New Roman"/>
                <w:color w:val="000000"/>
              </w:rPr>
              <w:t xml:space="preserve"> sur la vaccination</w:t>
            </w:r>
          </w:p>
        </w:tc>
      </w:tr>
      <w:tr w:rsidR="00C64E1B" w:rsidRPr="00621BF1" w:rsidTr="005D2ED1">
        <w:trPr>
          <w:trHeight w:val="79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Taux d’abandon –Penta 1/3; PCV 1/3; RV 1/dernier; VAR </w:t>
            </w:r>
            <w:r w:rsidR="00313662">
              <w:rPr>
                <w:rFonts w:eastAsia="Times New Roman" w:cs="Times New Roman"/>
                <w:color w:val="000000"/>
              </w:rPr>
              <w:t>½</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xml:space="preserve">8% (Bulletin </w:t>
            </w:r>
            <w:proofErr w:type="spellStart"/>
            <w:r w:rsidRPr="00621BF1">
              <w:rPr>
                <w:rFonts w:eastAsia="Times New Roman" w:cs="Times New Roman"/>
                <w:color w:val="000000"/>
                <w:lang w:val="en-US"/>
              </w:rPr>
              <w:t>Juin</w:t>
            </w:r>
            <w:proofErr w:type="spellEnd"/>
            <w:r w:rsidRPr="00621BF1">
              <w:rPr>
                <w:rFonts w:eastAsia="Times New Roman" w:cs="Times New Roman"/>
                <w:color w:val="000000"/>
                <w:lang w:val="en-US"/>
              </w:rPr>
              <w:t xml:space="preserve"> 2016)</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2016</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7%</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7%</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7%</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DVD-MT</w:t>
            </w:r>
          </w:p>
        </w:tc>
      </w:tr>
      <w:tr w:rsidR="00C64E1B" w:rsidRPr="00621BF1" w:rsidTr="005D2ED1">
        <w:trPr>
          <w:trHeight w:val="10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Différence (en points de pourcentage) entre la couverture vaccinale du Pentavalent 3 provenant des données administratives ainsi que la couverture vaccinale du Pentavalent 3 provenant d'une enquête de couverture vaccinale</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15% (Estimation OMS/</w:t>
            </w:r>
            <w:proofErr w:type="spellStart"/>
            <w:r w:rsidRPr="00621BF1">
              <w:rPr>
                <w:rFonts w:eastAsia="Times New Roman" w:cs="Times New Roman"/>
                <w:color w:val="000000"/>
                <w:lang w:val="en-US"/>
              </w:rPr>
              <w:t>Unicef</w:t>
            </w:r>
            <w:proofErr w:type="spellEnd"/>
            <w:r w:rsidRPr="00621BF1">
              <w:rPr>
                <w:rFonts w:eastAsia="Times New Roman" w:cs="Times New Roman"/>
                <w:color w:val="000000"/>
                <w:lang w:val="en-US"/>
              </w:rPr>
              <w:t xml:space="preserve"> 2014)</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2014</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7%</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5%</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Estimation OMS/UNUCEIF</w:t>
            </w:r>
          </w:p>
        </w:tc>
      </w:tr>
      <w:tr w:rsidR="00C64E1B" w:rsidRPr="00621BF1" w:rsidTr="00C64E1B">
        <w:trPr>
          <w:trHeight w:val="495"/>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rPr>
                <w:rFonts w:eastAsia="Times New Roman" w:cs="Times New Roman"/>
                <w:b/>
                <w:bCs/>
                <w:color w:val="000000"/>
              </w:rPr>
            </w:pPr>
            <w:r w:rsidRPr="00621BF1">
              <w:rPr>
                <w:rFonts w:eastAsia="Times New Roman" w:cs="Times New Roman"/>
                <w:b/>
                <w:bCs/>
                <w:color w:val="000000"/>
              </w:rPr>
              <w:t>Objectif 2</w:t>
            </w:r>
            <w:r w:rsidRPr="00621BF1">
              <w:rPr>
                <w:rFonts w:eastAsia="Times New Roman" w:cs="Times New Roman"/>
                <w:color w:val="000000"/>
              </w:rPr>
              <w:t>: D’ici fin 2020, 100% des Districts Sanitaires ont introduit les nouveaux vaccins contre le pneumocoque, le rota virus, HPV, RR, Ebola etc.</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 districts sanitaires ayant introduit les nouveaux vaccins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d'</w:t>
            </w:r>
            <w:proofErr w:type="spellStart"/>
            <w:r w:rsidRPr="00621BF1">
              <w:rPr>
                <w:rFonts w:eastAsia="Times New Roman" w:cs="Times New Roman"/>
                <w:color w:val="000000"/>
              </w:rPr>
              <w:t>evaluation</w:t>
            </w:r>
            <w:proofErr w:type="spellEnd"/>
            <w:r w:rsidRPr="00621BF1">
              <w:rPr>
                <w:rFonts w:eastAsia="Times New Roman" w:cs="Times New Roman"/>
                <w:color w:val="000000"/>
              </w:rPr>
              <w:t xml:space="preserve"> de l'introduction de </w:t>
            </w:r>
            <w:proofErr w:type="spellStart"/>
            <w:r w:rsidRPr="00621BF1">
              <w:rPr>
                <w:rFonts w:eastAsia="Times New Roman" w:cs="Times New Roman"/>
                <w:color w:val="000000"/>
              </w:rPr>
              <w:t>noveaux</w:t>
            </w:r>
            <w:proofErr w:type="spellEnd"/>
            <w:r w:rsidRPr="00621BF1">
              <w:rPr>
                <w:rFonts w:eastAsia="Times New Roman" w:cs="Times New Roman"/>
                <w:color w:val="000000"/>
              </w:rPr>
              <w:t xml:space="preserve"> vaccins</w:t>
            </w:r>
          </w:p>
        </w:tc>
      </w:tr>
      <w:tr w:rsidR="00C64E1B" w:rsidRPr="00621BF1" w:rsidTr="00C64E1B">
        <w:trPr>
          <w:trHeight w:val="360"/>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jc w:val="both"/>
              <w:rPr>
                <w:rFonts w:eastAsia="Times New Roman" w:cs="Times New Roman"/>
                <w:b/>
                <w:bCs/>
                <w:color w:val="000000"/>
              </w:rPr>
            </w:pPr>
            <w:r w:rsidRPr="00621BF1">
              <w:rPr>
                <w:rFonts w:eastAsia="Times New Roman" w:cs="Times New Roman"/>
                <w:b/>
                <w:bCs/>
                <w:color w:val="000000"/>
              </w:rPr>
              <w:t>Objectif 3</w:t>
            </w:r>
            <w:r w:rsidRPr="00621BF1">
              <w:rPr>
                <w:rFonts w:eastAsia="Times New Roman" w:cs="Times New Roman"/>
                <w:color w:val="000000"/>
              </w:rPr>
              <w:t xml:space="preserve">: D’ici fin 2020, les AVS (Polio, rougeole, Méningite, Fièvre jaune, Tétanos) organisées atteignent au moins 95% de leurs cibles </w:t>
            </w:r>
          </w:p>
        </w:tc>
      </w:tr>
      <w:tr w:rsidR="00C64E1B" w:rsidRPr="00621BF1" w:rsidTr="005D2ED1">
        <w:trPr>
          <w:trHeight w:val="208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lastRenderedPageBreak/>
              <w:t>Pourcentage de zones insuffisamment couvertes lors des AVS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50% (</w:t>
            </w:r>
            <w:proofErr w:type="spellStart"/>
            <w:r w:rsidRPr="00621BF1">
              <w:rPr>
                <w:rFonts w:eastAsia="Times New Roman" w:cs="Times New Roman"/>
                <w:color w:val="000000"/>
                <w:lang w:val="en-US"/>
              </w:rPr>
              <w:t>GU_IM_Polio_SIA_Template_AFRO_National</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Level_With_new</w:t>
            </w:r>
            <w:proofErr w:type="spellEnd"/>
            <w:r w:rsidRPr="00621BF1">
              <w:rPr>
                <w:rFonts w:eastAsia="Times New Roman" w:cs="Times New Roman"/>
                <w:color w:val="000000"/>
                <w:lang w:val="en-US"/>
              </w:rPr>
              <w:t xml:space="preserve"> Social M Indicators_14 </w:t>
            </w:r>
            <w:proofErr w:type="spellStart"/>
            <w:r w:rsidRPr="00621BF1">
              <w:rPr>
                <w:rFonts w:eastAsia="Times New Roman" w:cs="Times New Roman"/>
                <w:color w:val="000000"/>
                <w:lang w:val="en-US"/>
              </w:rPr>
              <w:t>avril</w:t>
            </w:r>
            <w:proofErr w:type="spellEnd"/>
            <w:r w:rsidRPr="00621BF1">
              <w:rPr>
                <w:rFonts w:eastAsia="Times New Roman" w:cs="Times New Roman"/>
                <w:color w:val="000000"/>
                <w:lang w:val="en-US"/>
              </w:rPr>
              <w:t xml:space="preserve"> 2016)</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2016</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Par passage</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25%</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15%</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5%</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Rapport LQAS/Monitorage </w:t>
            </w:r>
            <w:proofErr w:type="spellStart"/>
            <w:r w:rsidRPr="00621BF1">
              <w:rPr>
                <w:rFonts w:eastAsia="Times New Roman" w:cs="Times New Roman"/>
                <w:color w:val="000000"/>
              </w:rPr>
              <w:t>indepenant</w:t>
            </w:r>
            <w:proofErr w:type="spellEnd"/>
            <w:r w:rsidRPr="00621BF1">
              <w:rPr>
                <w:rFonts w:eastAsia="Times New Roman" w:cs="Times New Roman"/>
                <w:color w:val="000000"/>
              </w:rPr>
              <w:t xml:space="preserve"> des AVS</w:t>
            </w:r>
          </w:p>
        </w:tc>
      </w:tr>
      <w:tr w:rsidR="00C64E1B" w:rsidRPr="00621BF1" w:rsidTr="005D2ED1">
        <w:trPr>
          <w:trHeight w:val="67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d’enfant manqué lors des AVS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xml:space="preserve">4.6% (JNV polio </w:t>
            </w:r>
            <w:proofErr w:type="spellStart"/>
            <w:r w:rsidRPr="00621BF1">
              <w:rPr>
                <w:rFonts w:eastAsia="Times New Roman" w:cs="Times New Roman"/>
                <w:color w:val="000000"/>
                <w:lang w:val="en-US"/>
              </w:rPr>
              <w:t>avril</w:t>
            </w:r>
            <w:proofErr w:type="spellEnd"/>
            <w:r w:rsidRPr="00621BF1">
              <w:rPr>
                <w:rFonts w:eastAsia="Times New Roman" w:cs="Times New Roman"/>
                <w:color w:val="000000"/>
                <w:lang w:val="en-US"/>
              </w:rPr>
              <w:t xml:space="preserve"> 2016)</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2016</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Par passage</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Rapport LQAS/Monitorage </w:t>
            </w:r>
            <w:proofErr w:type="spellStart"/>
            <w:r w:rsidRPr="00621BF1">
              <w:rPr>
                <w:rFonts w:eastAsia="Times New Roman" w:cs="Times New Roman"/>
                <w:color w:val="000000"/>
              </w:rPr>
              <w:t>indepenant</w:t>
            </w:r>
            <w:proofErr w:type="spellEnd"/>
            <w:r w:rsidRPr="00621BF1">
              <w:rPr>
                <w:rFonts w:eastAsia="Times New Roman" w:cs="Times New Roman"/>
                <w:color w:val="000000"/>
              </w:rPr>
              <w:t xml:space="preserve"> des AVS</w:t>
            </w:r>
          </w:p>
        </w:tc>
      </w:tr>
      <w:tr w:rsidR="00C64E1B" w:rsidRPr="00621BF1" w:rsidTr="005D2ED1">
        <w:trPr>
          <w:trHeight w:val="66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Couverture vaccinale suite à une campagne</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xml:space="preserve">100% (JNV polio </w:t>
            </w:r>
            <w:proofErr w:type="spellStart"/>
            <w:r w:rsidRPr="00621BF1">
              <w:rPr>
                <w:rFonts w:eastAsia="Times New Roman" w:cs="Times New Roman"/>
                <w:color w:val="000000"/>
                <w:lang w:val="en-US"/>
              </w:rPr>
              <w:t>avril</w:t>
            </w:r>
            <w:proofErr w:type="spellEnd"/>
            <w:r w:rsidRPr="00621BF1">
              <w:rPr>
                <w:rFonts w:eastAsia="Times New Roman" w:cs="Times New Roman"/>
                <w:color w:val="000000"/>
                <w:lang w:val="en-US"/>
              </w:rPr>
              <w:t xml:space="preserve"> 2016)</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2016</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Par passage</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Rapport </w:t>
            </w:r>
            <w:proofErr w:type="spellStart"/>
            <w:r w:rsidRPr="00621BF1">
              <w:rPr>
                <w:rFonts w:eastAsia="Times New Roman" w:cs="Times New Roman"/>
                <w:color w:val="000000"/>
                <w:lang w:val="en-US"/>
              </w:rPr>
              <w:t>campagne</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donnees</w:t>
            </w:r>
            <w:proofErr w:type="spellEnd"/>
            <w:r w:rsidRPr="00621BF1">
              <w:rPr>
                <w:rFonts w:eastAsia="Times New Roman" w:cs="Times New Roman"/>
                <w:color w:val="000000"/>
                <w:lang w:val="en-US"/>
              </w:rPr>
              <w:t xml:space="preserve"> </w:t>
            </w:r>
            <w:proofErr w:type="spellStart"/>
            <w:r w:rsidRPr="00621BF1">
              <w:rPr>
                <w:rFonts w:eastAsia="Times New Roman" w:cs="Times New Roman"/>
                <w:color w:val="000000"/>
                <w:lang w:val="en-US"/>
              </w:rPr>
              <w:t>administratives</w:t>
            </w:r>
            <w:proofErr w:type="spellEnd"/>
            <w:r w:rsidRPr="00621BF1">
              <w:rPr>
                <w:rFonts w:eastAsia="Times New Roman" w:cs="Times New Roman"/>
                <w:color w:val="000000"/>
                <w:lang w:val="en-US"/>
              </w:rPr>
              <w:t>)</w:t>
            </w:r>
          </w:p>
        </w:tc>
      </w:tr>
      <w:tr w:rsidR="00C64E1B" w:rsidRPr="00621BF1" w:rsidTr="005D2ED1">
        <w:trPr>
          <w:trHeight w:val="88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Couverture vaccinale suite à une </w:t>
            </w:r>
            <w:proofErr w:type="spellStart"/>
            <w:r w:rsidRPr="00621BF1">
              <w:rPr>
                <w:rFonts w:eastAsia="Times New Roman" w:cs="Times New Roman"/>
                <w:color w:val="000000"/>
              </w:rPr>
              <w:t>evaluation</w:t>
            </w:r>
            <w:proofErr w:type="spellEnd"/>
            <w:r w:rsidRPr="00621BF1">
              <w:rPr>
                <w:rFonts w:eastAsia="Times New Roman" w:cs="Times New Roman"/>
                <w:color w:val="000000"/>
              </w:rPr>
              <w:t xml:space="preserve"> </w:t>
            </w:r>
            <w:proofErr w:type="spellStart"/>
            <w:r w:rsidRPr="00621BF1">
              <w:rPr>
                <w:rFonts w:eastAsia="Times New Roman" w:cs="Times New Roman"/>
                <w:color w:val="000000"/>
              </w:rPr>
              <w:t>independante</w:t>
            </w:r>
            <w:proofErr w:type="spellEnd"/>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xml:space="preserve">95.4% (LQAS </w:t>
            </w:r>
            <w:proofErr w:type="spellStart"/>
            <w:r w:rsidRPr="00621BF1">
              <w:rPr>
                <w:rFonts w:eastAsia="Times New Roman" w:cs="Times New Roman"/>
                <w:color w:val="000000"/>
                <w:lang w:val="en-US"/>
              </w:rPr>
              <w:t>avril</w:t>
            </w:r>
            <w:proofErr w:type="spellEnd"/>
            <w:r w:rsidRPr="00621BF1">
              <w:rPr>
                <w:rFonts w:eastAsia="Times New Roman" w:cs="Times New Roman"/>
                <w:color w:val="000000"/>
                <w:lang w:val="en-US"/>
              </w:rPr>
              <w:t xml:space="preserve"> 2016)</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2016</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Par passage</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96%</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96%</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97%</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97%</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97%</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Rapport LQAS/Monitorage </w:t>
            </w:r>
            <w:proofErr w:type="spellStart"/>
            <w:r w:rsidRPr="00621BF1">
              <w:rPr>
                <w:rFonts w:eastAsia="Times New Roman" w:cs="Times New Roman"/>
                <w:color w:val="000000"/>
              </w:rPr>
              <w:t>indepenant</w:t>
            </w:r>
            <w:proofErr w:type="spellEnd"/>
            <w:r w:rsidRPr="00621BF1">
              <w:rPr>
                <w:rFonts w:eastAsia="Times New Roman" w:cs="Times New Roman"/>
                <w:color w:val="000000"/>
              </w:rPr>
              <w:t xml:space="preserve"> des AVS </w:t>
            </w:r>
          </w:p>
        </w:tc>
      </w:tr>
      <w:tr w:rsidR="00C64E1B" w:rsidRPr="00621BF1" w:rsidTr="00C64E1B">
        <w:trPr>
          <w:trHeight w:val="360"/>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jc w:val="both"/>
              <w:rPr>
                <w:rFonts w:eastAsia="Times New Roman" w:cs="Times New Roman"/>
                <w:b/>
                <w:bCs/>
                <w:color w:val="000000"/>
              </w:rPr>
            </w:pPr>
            <w:r w:rsidRPr="00621BF1">
              <w:rPr>
                <w:rFonts w:eastAsia="Times New Roman" w:cs="Times New Roman"/>
                <w:b/>
                <w:bCs/>
                <w:color w:val="000000"/>
              </w:rPr>
              <w:t>Objectif 4</w:t>
            </w:r>
            <w:r w:rsidRPr="00621BF1">
              <w:rPr>
                <w:rFonts w:eastAsia="Times New Roman" w:cs="Times New Roman"/>
                <w:color w:val="000000"/>
              </w:rPr>
              <w:t>: D’ici à fin 2020, au moins 90% des districts sanitaires  fournissent des données de qualité en temps réel.</w:t>
            </w:r>
          </w:p>
        </w:tc>
      </w:tr>
      <w:tr w:rsidR="00C64E1B" w:rsidRPr="00621BF1" w:rsidTr="005D2ED1">
        <w:trPr>
          <w:trHeight w:val="105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Pourcentage des districts sanitaires ayant fournis la totalité et dans les délais les rapports statistiques du PEV  </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21%</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95%</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97%</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98%</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DVD-MT</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Nombre de missions d'audit de la </w:t>
            </w:r>
            <w:proofErr w:type="spellStart"/>
            <w:r w:rsidRPr="00621BF1">
              <w:rPr>
                <w:rFonts w:eastAsia="Times New Roman" w:cs="Times New Roman"/>
                <w:color w:val="000000"/>
              </w:rPr>
              <w:t>qualite</w:t>
            </w:r>
            <w:proofErr w:type="spellEnd"/>
            <w:r w:rsidRPr="00621BF1">
              <w:rPr>
                <w:rFonts w:eastAsia="Times New Roman" w:cs="Times New Roman"/>
                <w:color w:val="000000"/>
              </w:rPr>
              <w:t xml:space="preserve"> des </w:t>
            </w:r>
            <w:proofErr w:type="spellStart"/>
            <w:r w:rsidRPr="00621BF1">
              <w:rPr>
                <w:rFonts w:eastAsia="Times New Roman" w:cs="Times New Roman"/>
                <w:color w:val="000000"/>
              </w:rPr>
              <w:t>donnees</w:t>
            </w:r>
            <w:proofErr w:type="spellEnd"/>
            <w:r w:rsidRPr="00621BF1">
              <w:rPr>
                <w:rFonts w:eastAsia="Times New Roman" w:cs="Times New Roman"/>
                <w:color w:val="000000"/>
              </w:rPr>
              <w:t xml:space="preserve"> </w:t>
            </w:r>
            <w:proofErr w:type="spellStart"/>
            <w:r w:rsidRPr="00621BF1">
              <w:rPr>
                <w:rFonts w:eastAsia="Times New Roman" w:cs="Times New Roman"/>
                <w:color w:val="000000"/>
              </w:rPr>
              <w:t>realisees</w:t>
            </w:r>
            <w:proofErr w:type="spellEnd"/>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N/D</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Rapport </w:t>
            </w:r>
            <w:proofErr w:type="spellStart"/>
            <w:r w:rsidRPr="00621BF1">
              <w:rPr>
                <w:rFonts w:eastAsia="Times New Roman" w:cs="Times New Roman"/>
                <w:color w:val="000000"/>
                <w:lang w:val="en-US"/>
              </w:rPr>
              <w:t>d'audit</w:t>
            </w:r>
            <w:proofErr w:type="spellEnd"/>
            <w:r w:rsidRPr="00621BF1">
              <w:rPr>
                <w:rFonts w:eastAsia="Times New Roman" w:cs="Times New Roman"/>
                <w:color w:val="000000"/>
                <w:lang w:val="en-US"/>
              </w:rPr>
              <w:t xml:space="preserve"> des </w:t>
            </w:r>
            <w:proofErr w:type="spellStart"/>
            <w:r w:rsidRPr="00621BF1">
              <w:rPr>
                <w:rFonts w:eastAsia="Times New Roman" w:cs="Times New Roman"/>
                <w:color w:val="000000"/>
                <w:lang w:val="en-US"/>
              </w:rPr>
              <w:t>donnees</w:t>
            </w:r>
            <w:proofErr w:type="spellEnd"/>
          </w:p>
        </w:tc>
      </w:tr>
      <w:tr w:rsidR="00C64E1B" w:rsidRPr="00621BF1" w:rsidTr="005D2ED1">
        <w:trPr>
          <w:trHeight w:val="139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lastRenderedPageBreak/>
              <w:t>Pourcentage des structures de vaccination dont les données dans les sources primaires correspondant à celles transmises au niveau supérieur</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N/D</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85%</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95%</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95%</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Rapport </w:t>
            </w:r>
            <w:proofErr w:type="spellStart"/>
            <w:r w:rsidRPr="00621BF1">
              <w:rPr>
                <w:rFonts w:eastAsia="Times New Roman" w:cs="Times New Roman"/>
                <w:color w:val="000000"/>
                <w:lang w:val="en-US"/>
              </w:rPr>
              <w:t>d'audit</w:t>
            </w:r>
            <w:proofErr w:type="spellEnd"/>
            <w:r w:rsidRPr="00621BF1">
              <w:rPr>
                <w:rFonts w:eastAsia="Times New Roman" w:cs="Times New Roman"/>
                <w:color w:val="000000"/>
                <w:lang w:val="en-US"/>
              </w:rPr>
              <w:t xml:space="preserve"> des </w:t>
            </w:r>
            <w:proofErr w:type="spellStart"/>
            <w:r w:rsidRPr="00621BF1">
              <w:rPr>
                <w:rFonts w:eastAsia="Times New Roman" w:cs="Times New Roman"/>
                <w:color w:val="000000"/>
                <w:lang w:val="en-US"/>
              </w:rPr>
              <w:t>donnees</w:t>
            </w:r>
            <w:proofErr w:type="spellEnd"/>
          </w:p>
        </w:tc>
      </w:tr>
      <w:tr w:rsidR="00C64E1B" w:rsidRPr="00621BF1" w:rsidTr="00C64E1B">
        <w:trPr>
          <w:trHeight w:val="315"/>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rPr>
                <w:rFonts w:eastAsia="Times New Roman" w:cs="Times New Roman"/>
                <w:b/>
                <w:bCs/>
                <w:color w:val="000000"/>
              </w:rPr>
            </w:pPr>
            <w:r w:rsidRPr="00621BF1">
              <w:rPr>
                <w:rFonts w:eastAsia="Times New Roman" w:cs="Times New Roman"/>
                <w:b/>
                <w:bCs/>
                <w:color w:val="000000"/>
              </w:rPr>
              <w:t>Objectif 5</w:t>
            </w:r>
            <w:r w:rsidRPr="00621BF1">
              <w:rPr>
                <w:rFonts w:eastAsia="Times New Roman" w:cs="Times New Roman"/>
                <w:color w:val="000000"/>
              </w:rPr>
              <w:t xml:space="preserve">: D'ici à fin 2020, augmenter de 37% à 80% la gestion efficace des vaccins (GEV) à tous les niveaux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bénéficiaires vaccinés ventilé par vaccin et 1ère et dernière dose</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Ruptures de stock au niveau central et des districts ventilées par vaccin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43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Score de la Gestion Efficace des Vaccins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37%</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2016</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Quinquennale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na</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na</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na</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na</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Rapport GEV</w:t>
            </w:r>
          </w:p>
        </w:tc>
      </w:tr>
      <w:tr w:rsidR="00C64E1B" w:rsidRPr="00621BF1" w:rsidTr="005D2ED1">
        <w:trPr>
          <w:trHeight w:val="67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Ruptures de stock au niveau central et des districts ventilées par vaccin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jours avec rupture de stock dans les structures de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Nombre de DPS sans rupture de vaccins (traditionnels et Co-financement </w:t>
            </w:r>
            <w:proofErr w:type="spellStart"/>
            <w:r w:rsidRPr="00621BF1">
              <w:rPr>
                <w:rFonts w:eastAsia="Times New Roman" w:cs="Times New Roman"/>
                <w:color w:val="000000"/>
              </w:rPr>
              <w:t>Gavi</w:t>
            </w:r>
            <w:proofErr w:type="spellEnd"/>
            <w:r w:rsidRPr="00621BF1">
              <w:rPr>
                <w:rFonts w:eastAsia="Times New Roman" w:cs="Times New Roman"/>
                <w:color w:val="000000"/>
              </w:rPr>
              <w:t>)</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dépôts avec un taux de perte &lt;1% en flacons non ouverts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Taux de perte dans les structures de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139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lastRenderedPageBreak/>
              <w:t>Nombre de formations sanitaires ayant des équipements de chaîne de froid qui ont remplacé un ou plusieurs équipements à l'aide de la plateforme</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49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Paiement du cofinancement ventilé par année</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Nombre de structures privées  dotées de réfrigérateurs solaires </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C64E1B">
        <w:trPr>
          <w:trHeight w:val="435"/>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rPr>
                <w:rFonts w:eastAsia="Times New Roman" w:cs="Times New Roman"/>
                <w:b/>
                <w:bCs/>
                <w:color w:val="000000"/>
              </w:rPr>
            </w:pPr>
            <w:r w:rsidRPr="00621BF1">
              <w:rPr>
                <w:rFonts w:eastAsia="Times New Roman" w:cs="Times New Roman"/>
                <w:b/>
                <w:bCs/>
                <w:color w:val="000000"/>
              </w:rPr>
              <w:t>Objectif 6</w:t>
            </w:r>
            <w:r w:rsidRPr="00621BF1">
              <w:rPr>
                <w:rFonts w:eastAsia="Times New Roman" w:cs="Times New Roman"/>
                <w:color w:val="000000"/>
              </w:rPr>
              <w:t> : D’ici 2020, développer et mettre en œuvre un plan de gestion des déchets biomédicaux suivant les normes de l’OMS et environnementales</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Pourcentage des districts sanitaires disposant d'un </w:t>
            </w:r>
            <w:proofErr w:type="spellStart"/>
            <w:r w:rsidRPr="00621BF1">
              <w:rPr>
                <w:rFonts w:eastAsia="Times New Roman" w:cs="Times New Roman"/>
                <w:color w:val="000000"/>
              </w:rPr>
              <w:t>incinerateur</w:t>
            </w:r>
            <w:proofErr w:type="spellEnd"/>
            <w:r w:rsidRPr="00621BF1">
              <w:rPr>
                <w:rFonts w:eastAsia="Times New Roman" w:cs="Times New Roman"/>
                <w:color w:val="000000"/>
              </w:rPr>
              <w:t xml:space="preserve"> performant</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ND</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26%</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50%</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79%</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92%</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d'</w:t>
            </w:r>
            <w:proofErr w:type="spellStart"/>
            <w:r w:rsidRPr="00621BF1">
              <w:rPr>
                <w:rFonts w:eastAsia="Times New Roman" w:cs="Times New Roman"/>
                <w:color w:val="000000"/>
              </w:rPr>
              <w:t>activites</w:t>
            </w:r>
            <w:proofErr w:type="spellEnd"/>
            <w:r w:rsidRPr="00621BF1">
              <w:rPr>
                <w:rFonts w:eastAsia="Times New Roman" w:cs="Times New Roman"/>
                <w:color w:val="000000"/>
              </w:rPr>
              <w:t xml:space="preserve"> du programme PEV</w:t>
            </w:r>
          </w:p>
        </w:tc>
      </w:tr>
      <w:tr w:rsidR="00C64E1B" w:rsidRPr="00621BF1" w:rsidTr="00C64E1B">
        <w:trPr>
          <w:trHeight w:val="435"/>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rPr>
                <w:rFonts w:eastAsia="Times New Roman" w:cs="Times New Roman"/>
                <w:b/>
                <w:bCs/>
                <w:color w:val="000000"/>
              </w:rPr>
            </w:pPr>
            <w:r w:rsidRPr="00621BF1">
              <w:rPr>
                <w:rFonts w:eastAsia="Times New Roman" w:cs="Times New Roman"/>
                <w:b/>
                <w:bCs/>
                <w:color w:val="000000"/>
              </w:rPr>
              <w:t>Objectif 7</w:t>
            </w:r>
            <w:r w:rsidRPr="00621BF1">
              <w:rPr>
                <w:rFonts w:eastAsia="Times New Roman" w:cs="Times New Roman"/>
                <w:color w:val="000000"/>
              </w:rPr>
              <w:t>: D'ici fin 2018, atteindre les indicateurs de surveillance des PFA dans le cadre de l'éradication de la poliomyélite</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Taux de PFA non polio</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2.8</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Rapport </w:t>
            </w:r>
            <w:proofErr w:type="spellStart"/>
            <w:r w:rsidRPr="00621BF1">
              <w:rPr>
                <w:rFonts w:eastAsia="Times New Roman" w:cs="Times New Roman"/>
                <w:color w:val="000000"/>
                <w:lang w:val="en-US"/>
              </w:rPr>
              <w:t>hebdomadaire</w:t>
            </w:r>
            <w:proofErr w:type="spellEnd"/>
            <w:r w:rsidRPr="00621BF1">
              <w:rPr>
                <w:rFonts w:eastAsia="Times New Roman" w:cs="Times New Roman"/>
                <w:color w:val="000000"/>
                <w:lang w:val="en-US"/>
              </w:rPr>
              <w:t xml:space="preserve"> de surveillance</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Pourcentage de selles prélevées dans les 14 jours de début des paralysies </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80%</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88%</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88%</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90%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xml:space="preserve">Rapport </w:t>
            </w:r>
            <w:proofErr w:type="spellStart"/>
            <w:r w:rsidRPr="00621BF1">
              <w:rPr>
                <w:rFonts w:eastAsia="Times New Roman" w:cs="Times New Roman"/>
                <w:color w:val="000000"/>
                <w:lang w:val="en-US"/>
              </w:rPr>
              <w:t>hebdomadaire</w:t>
            </w:r>
            <w:proofErr w:type="spellEnd"/>
            <w:r w:rsidRPr="00621BF1">
              <w:rPr>
                <w:rFonts w:eastAsia="Times New Roman" w:cs="Times New Roman"/>
                <w:color w:val="000000"/>
                <w:lang w:val="en-US"/>
              </w:rPr>
              <w:t xml:space="preserve"> de surveillance</w:t>
            </w:r>
          </w:p>
        </w:tc>
      </w:tr>
      <w:tr w:rsidR="00C64E1B" w:rsidRPr="00621BF1" w:rsidTr="00C64E1B">
        <w:trPr>
          <w:trHeight w:val="510"/>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rPr>
                <w:rFonts w:eastAsia="Times New Roman" w:cs="Times New Roman"/>
                <w:b/>
                <w:bCs/>
                <w:color w:val="000000"/>
              </w:rPr>
            </w:pPr>
            <w:r w:rsidRPr="00621BF1">
              <w:rPr>
                <w:rFonts w:eastAsia="Times New Roman" w:cs="Times New Roman"/>
                <w:b/>
                <w:bCs/>
                <w:color w:val="000000"/>
              </w:rPr>
              <w:t>Objectif 8</w:t>
            </w:r>
            <w:r w:rsidRPr="00621BF1">
              <w:rPr>
                <w:rFonts w:eastAsia="Times New Roman" w:cs="Times New Roman"/>
                <w:color w:val="000000"/>
              </w:rPr>
              <w:t>: D’ici fin 2020, atteindre les indicateurs de la surveillance de la rougeole, de la fièvre jaune, de la méningite, de la coqueluche et de l’élimination du TMN  </w:t>
            </w:r>
          </w:p>
        </w:tc>
      </w:tr>
      <w:tr w:rsidR="00C64E1B" w:rsidRPr="00621BF1" w:rsidTr="005D2ED1">
        <w:trPr>
          <w:trHeight w:val="105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 rapports de surveillance des districts reçus à l’échelon national par rapport au nombre de rapports escompté</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105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lastRenderedPageBreak/>
              <w:t>Pourcentage de districts  ayant notifié et prélevé au moins un cas suspect de rougeole : au moins 80%</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105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 districts  ayant notifié et prélevé au moins un cas suspect de fièvre jaune : au moins 80%</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330"/>
        </w:trPr>
        <w:tc>
          <w:tcPr>
            <w:tcW w:w="1735"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 cas de fièvre jaune suspectée pour lesquels un test en laboratoire a été réalisé : 80%</w:t>
            </w:r>
          </w:p>
        </w:tc>
        <w:tc>
          <w:tcPr>
            <w:tcW w:w="47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435"/>
        </w:trPr>
        <w:tc>
          <w:tcPr>
            <w:tcW w:w="1735"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47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443"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453"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47"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47"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47"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3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3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69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r>
      <w:tr w:rsidR="00C64E1B" w:rsidRPr="00621BF1" w:rsidTr="005D2ED1">
        <w:trPr>
          <w:trHeight w:val="330"/>
        </w:trPr>
        <w:tc>
          <w:tcPr>
            <w:tcW w:w="1735"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 cas de rougeole suspectée pour lesquels un test en laboratoire a été réalisé : 80%</w:t>
            </w:r>
          </w:p>
        </w:tc>
        <w:tc>
          <w:tcPr>
            <w:tcW w:w="47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435"/>
        </w:trPr>
        <w:tc>
          <w:tcPr>
            <w:tcW w:w="1735"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47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443"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453"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47"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47"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47"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3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3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69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 cas de TMN investigues : au moins 80%</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330"/>
        </w:trPr>
        <w:tc>
          <w:tcPr>
            <w:tcW w:w="1735"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 cas de TMN investigues et ayant fait l'objet de riposte : au moins 80%</w:t>
            </w:r>
          </w:p>
        </w:tc>
        <w:tc>
          <w:tcPr>
            <w:tcW w:w="47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vMerge w:val="restar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435"/>
        </w:trPr>
        <w:tc>
          <w:tcPr>
            <w:tcW w:w="1735"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47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443"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453"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47"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47"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47"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3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23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c>
          <w:tcPr>
            <w:tcW w:w="692" w:type="pct"/>
            <w:vMerge/>
            <w:tcBorders>
              <w:top w:val="nil"/>
              <w:left w:val="single" w:sz="8" w:space="0" w:color="808080"/>
              <w:bottom w:val="single" w:sz="8" w:space="0" w:color="808080"/>
              <w:right w:val="single" w:sz="8" w:space="0" w:color="808080"/>
            </w:tcBorders>
            <w:vAlign w:val="center"/>
            <w:hideMark/>
          </w:tcPr>
          <w:p w:rsidR="00C64E1B" w:rsidRPr="00621BF1" w:rsidRDefault="00C64E1B" w:rsidP="00C64E1B">
            <w:pPr>
              <w:spacing w:after="0" w:line="240" w:lineRule="auto"/>
              <w:rPr>
                <w:rFonts w:eastAsia="Times New Roman" w:cs="Times New Roman"/>
                <w:color w:val="000000"/>
              </w:rPr>
            </w:pPr>
          </w:p>
        </w:tc>
      </w:tr>
      <w:tr w:rsidR="00C64E1B" w:rsidRPr="00621BF1" w:rsidTr="005D2ED1">
        <w:trPr>
          <w:trHeight w:val="139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Pourcentage de cas de méningite suspectée qui ont fait l’objet de tests </w:t>
            </w:r>
            <w:proofErr w:type="spellStart"/>
            <w:r w:rsidRPr="00621BF1">
              <w:rPr>
                <w:rFonts w:eastAsia="Times New Roman" w:cs="Times New Roman"/>
                <w:color w:val="000000"/>
              </w:rPr>
              <w:t>Hib</w:t>
            </w:r>
            <w:proofErr w:type="spellEnd"/>
            <w:r w:rsidRPr="00621BF1">
              <w:rPr>
                <w:rFonts w:eastAsia="Times New Roman" w:cs="Times New Roman"/>
                <w:color w:val="000000"/>
              </w:rPr>
              <w:t>/maladies pneumocoques conformément au protocole standard</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C64E1B">
        <w:trPr>
          <w:trHeight w:val="360"/>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jc w:val="both"/>
              <w:rPr>
                <w:rFonts w:eastAsia="Times New Roman" w:cs="Times New Roman"/>
                <w:b/>
                <w:bCs/>
                <w:color w:val="000000"/>
              </w:rPr>
            </w:pPr>
            <w:r w:rsidRPr="00621BF1">
              <w:rPr>
                <w:rFonts w:eastAsia="Times New Roman" w:cs="Times New Roman"/>
                <w:b/>
                <w:bCs/>
                <w:color w:val="000000"/>
              </w:rPr>
              <w:t>Objectif 9</w:t>
            </w:r>
            <w:r w:rsidRPr="00621BF1">
              <w:rPr>
                <w:rFonts w:eastAsia="Times New Roman" w:cs="Times New Roman"/>
                <w:color w:val="000000"/>
              </w:rPr>
              <w:t>: D’ici fin juillet 2016, atteindre au moins 20% des structures sanitaires qui notifient et rapportent les données sur les  MAPI</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Système MAPI national actif œuvrant sous la responsabilité d’un comité national désigné </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36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Nombre</w:t>
            </w:r>
            <w:proofErr w:type="spellEnd"/>
            <w:r w:rsidRPr="00621BF1">
              <w:rPr>
                <w:rFonts w:eastAsia="Times New Roman" w:cs="Times New Roman"/>
                <w:color w:val="000000"/>
                <w:lang w:val="en-US"/>
              </w:rPr>
              <w:t xml:space="preserve"> de structures </w:t>
            </w:r>
            <w:proofErr w:type="spellStart"/>
            <w:r w:rsidRPr="00621BF1">
              <w:rPr>
                <w:rFonts w:eastAsia="Times New Roman" w:cs="Times New Roman"/>
                <w:color w:val="000000"/>
                <w:lang w:val="en-US"/>
              </w:rPr>
              <w:t>informées</w:t>
            </w:r>
            <w:proofErr w:type="spellEnd"/>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64E1B" w:rsidRPr="00621BF1" w:rsidTr="005D2ED1">
        <w:trPr>
          <w:trHeight w:val="36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lastRenderedPageBreak/>
              <w:t>Nombre de cas de MAPI notifies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cas de MAPI graves notifies et ayant fait l’objet d’investigation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C64E1B">
        <w:trPr>
          <w:trHeight w:val="585"/>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jc w:val="both"/>
              <w:rPr>
                <w:rFonts w:eastAsia="Times New Roman" w:cs="Times New Roman"/>
                <w:b/>
                <w:bCs/>
                <w:color w:val="000000"/>
              </w:rPr>
            </w:pPr>
            <w:r w:rsidRPr="00621BF1">
              <w:rPr>
                <w:rFonts w:eastAsia="Times New Roman" w:cs="Times New Roman"/>
                <w:b/>
                <w:bCs/>
                <w:color w:val="000000"/>
              </w:rPr>
              <w:t xml:space="preserve">Objectif 10: </w:t>
            </w:r>
            <w:r w:rsidRPr="00621BF1">
              <w:rPr>
                <w:rFonts w:eastAsia="Times New Roman" w:cs="Times New Roman"/>
                <w:color w:val="000000"/>
              </w:rPr>
              <w:t>D’ici à fin 2020, 90% des individus et des collectivités comprennent l’intérêt des vaccins et réclament la vaccination en tant que droit et responsabilité</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Nombre de </w:t>
            </w:r>
            <w:r w:rsidR="00A718E5" w:rsidRPr="00621BF1">
              <w:rPr>
                <w:rFonts w:eastAsia="Times New Roman" w:cs="Times New Roman"/>
                <w:color w:val="000000"/>
              </w:rPr>
              <w:t>séances</w:t>
            </w:r>
            <w:r w:rsidRPr="00621BF1">
              <w:rPr>
                <w:rFonts w:eastAsia="Times New Roman" w:cs="Times New Roman"/>
                <w:color w:val="000000"/>
              </w:rPr>
              <w:t xml:space="preserve"> de causeries </w:t>
            </w:r>
            <w:r w:rsidR="00A718E5" w:rsidRPr="00621BF1">
              <w:rPr>
                <w:rFonts w:eastAsia="Times New Roman" w:cs="Times New Roman"/>
                <w:color w:val="000000"/>
              </w:rPr>
              <w:t>éducatives</w:t>
            </w:r>
            <w:r w:rsidRPr="00621BF1">
              <w:rPr>
                <w:rFonts w:eastAsia="Times New Roman" w:cs="Times New Roman"/>
                <w:color w:val="000000"/>
              </w:rPr>
              <w:t xml:space="preserve"> </w:t>
            </w:r>
            <w:r w:rsidR="00A718E5" w:rsidRPr="00621BF1">
              <w:rPr>
                <w:rFonts w:eastAsia="Times New Roman" w:cs="Times New Roman"/>
                <w:color w:val="000000"/>
              </w:rPr>
              <w:t>réalisées</w:t>
            </w:r>
            <w:r w:rsidRPr="00621BF1">
              <w:rPr>
                <w:rFonts w:eastAsia="Times New Roman" w:cs="Times New Roman"/>
                <w:color w:val="000000"/>
              </w:rPr>
              <w:t xml:space="preserve"> sur la vaccination de routine</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Nombre de </w:t>
            </w:r>
            <w:r w:rsidR="00A718E5" w:rsidRPr="00621BF1">
              <w:rPr>
                <w:rFonts w:eastAsia="Times New Roman" w:cs="Times New Roman"/>
                <w:color w:val="000000"/>
              </w:rPr>
              <w:t>réunions</w:t>
            </w:r>
            <w:r w:rsidRPr="00621BF1">
              <w:rPr>
                <w:rFonts w:eastAsia="Times New Roman" w:cs="Times New Roman"/>
                <w:color w:val="000000"/>
              </w:rPr>
              <w:t xml:space="preserve"> de plaidoyer </w:t>
            </w:r>
            <w:r w:rsidR="00A718E5" w:rsidRPr="00621BF1">
              <w:rPr>
                <w:rFonts w:eastAsia="Times New Roman" w:cs="Times New Roman"/>
                <w:color w:val="000000"/>
              </w:rPr>
              <w:t>organisées</w:t>
            </w:r>
            <w:r w:rsidRPr="00621BF1">
              <w:rPr>
                <w:rFonts w:eastAsia="Times New Roman" w:cs="Times New Roman"/>
                <w:color w:val="000000"/>
              </w:rPr>
              <w:t xml:space="preserve"> en faveur de la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plateforme communautaires mises en  place en faveur de la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des parents d’enfants informés avant les AVS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Sources/canaux d'information des parents sur la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des parents connaissant la maladie contre laquelle les enfants sont vaccinés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structures de sante disposant des supports de communication pour la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Proportion des cas de refus de la vaccination </w:t>
            </w:r>
            <w:r w:rsidR="00D226FE" w:rsidRPr="00621BF1">
              <w:rPr>
                <w:rFonts w:eastAsia="Times New Roman" w:cs="Times New Roman"/>
                <w:color w:val="000000"/>
              </w:rPr>
              <w:t>résolus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lastRenderedPageBreak/>
              <w:t>Pourcentage des structure</w:t>
            </w:r>
            <w:r w:rsidR="00D226FE" w:rsidRPr="00621BF1">
              <w:rPr>
                <w:rFonts w:eastAsia="Times New Roman" w:cs="Times New Roman"/>
                <w:color w:val="000000"/>
              </w:rPr>
              <w:t>s</w:t>
            </w:r>
            <w:r w:rsidRPr="00621BF1">
              <w:rPr>
                <w:rFonts w:eastAsia="Times New Roman" w:cs="Times New Roman"/>
                <w:color w:val="000000"/>
              </w:rPr>
              <w:t xml:space="preserve"> de sante disposant de cadre </w:t>
            </w:r>
            <w:proofErr w:type="spellStart"/>
            <w:r w:rsidR="00D226FE" w:rsidRPr="00621BF1">
              <w:rPr>
                <w:rFonts w:eastAsia="Times New Roman" w:cs="Times New Roman"/>
                <w:color w:val="000000"/>
              </w:rPr>
              <w:t>redevabilité</w:t>
            </w:r>
            <w:proofErr w:type="spellEnd"/>
            <w:r w:rsidRPr="00621BF1">
              <w:rPr>
                <w:rFonts w:eastAsia="Times New Roman" w:cs="Times New Roman"/>
                <w:color w:val="000000"/>
              </w:rPr>
              <w:t xml:space="preserve"> fonctionnel</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C64E1B">
        <w:trPr>
          <w:trHeight w:val="465"/>
        </w:trPr>
        <w:tc>
          <w:tcPr>
            <w:tcW w:w="5000" w:type="pct"/>
            <w:gridSpan w:val="10"/>
            <w:tcBorders>
              <w:top w:val="single" w:sz="8" w:space="0" w:color="808080"/>
              <w:left w:val="single" w:sz="8" w:space="0" w:color="808080"/>
              <w:bottom w:val="single" w:sz="8" w:space="0" w:color="808080"/>
              <w:right w:val="single" w:sz="8" w:space="0" w:color="808080"/>
            </w:tcBorders>
            <w:shd w:val="clear" w:color="000000" w:fill="EEECE1"/>
            <w:vAlign w:val="center"/>
            <w:hideMark/>
          </w:tcPr>
          <w:p w:rsidR="00C64E1B" w:rsidRPr="00621BF1" w:rsidRDefault="00C64E1B" w:rsidP="00C64E1B">
            <w:pPr>
              <w:spacing w:after="0" w:line="240" w:lineRule="auto"/>
              <w:jc w:val="both"/>
              <w:rPr>
                <w:rFonts w:eastAsia="Times New Roman" w:cs="Times New Roman"/>
                <w:b/>
                <w:bCs/>
                <w:color w:val="000000"/>
              </w:rPr>
            </w:pPr>
            <w:r w:rsidRPr="00621BF1">
              <w:rPr>
                <w:rFonts w:eastAsia="Times New Roman" w:cs="Times New Roman"/>
                <w:b/>
                <w:bCs/>
                <w:color w:val="000000"/>
              </w:rPr>
              <w:t>Objectif 11</w:t>
            </w:r>
            <w:r w:rsidRPr="00621BF1">
              <w:rPr>
                <w:rFonts w:eastAsia="Times New Roman" w:cs="Times New Roman"/>
                <w:color w:val="000000"/>
              </w:rPr>
              <w:t xml:space="preserve">: Accroitre de 52% à 70% la fonctionnalité des structures de coordination, de leadership, de gouvernance et de mobilisation des ressources à tous les niveaux de 2017- 2020 </w:t>
            </w:r>
          </w:p>
        </w:tc>
      </w:tr>
      <w:tr w:rsidR="00C64E1B" w:rsidRPr="00621BF1" w:rsidTr="005D2ED1">
        <w:trPr>
          <w:trHeight w:val="105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Disponibilité du rapport d’analyse organisationnelle et fonctionnelle du programme de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N/A</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d'</w:t>
            </w:r>
            <w:proofErr w:type="spellStart"/>
            <w:r w:rsidRPr="00621BF1">
              <w:rPr>
                <w:rFonts w:eastAsia="Times New Roman" w:cs="Times New Roman"/>
                <w:color w:val="000000"/>
              </w:rPr>
              <w:t>activites</w:t>
            </w:r>
            <w:proofErr w:type="spellEnd"/>
            <w:r w:rsidRPr="00621BF1">
              <w:rPr>
                <w:rFonts w:eastAsia="Times New Roman" w:cs="Times New Roman"/>
                <w:color w:val="000000"/>
              </w:rPr>
              <w:t xml:space="preserve"> du programme PEV</w:t>
            </w:r>
          </w:p>
        </w:tc>
      </w:tr>
      <w:tr w:rsidR="00C64E1B" w:rsidRPr="00621BF1" w:rsidTr="005D2ED1">
        <w:trPr>
          <w:trHeight w:val="81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xml:space="preserve">Disponibilité d’un organigramme révisé du programme de vaccination </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N/A</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d'</w:t>
            </w:r>
            <w:proofErr w:type="spellStart"/>
            <w:r w:rsidRPr="00621BF1">
              <w:rPr>
                <w:rFonts w:eastAsia="Times New Roman" w:cs="Times New Roman"/>
                <w:color w:val="000000"/>
              </w:rPr>
              <w:t>activites</w:t>
            </w:r>
            <w:proofErr w:type="spellEnd"/>
            <w:r w:rsidRPr="00621BF1">
              <w:rPr>
                <w:rFonts w:eastAsia="Times New Roman" w:cs="Times New Roman"/>
                <w:color w:val="000000"/>
              </w:rPr>
              <w:t xml:space="preserve"> du programme PEV</w:t>
            </w:r>
          </w:p>
        </w:tc>
      </w:tr>
      <w:tr w:rsidR="00C64E1B" w:rsidRPr="00621BF1" w:rsidTr="005D2ED1">
        <w:trPr>
          <w:trHeight w:val="63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Disponibilité d'une loi sur la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N/A</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d'</w:t>
            </w:r>
            <w:proofErr w:type="spellStart"/>
            <w:r w:rsidRPr="00621BF1">
              <w:rPr>
                <w:rFonts w:eastAsia="Times New Roman" w:cs="Times New Roman"/>
                <w:color w:val="000000"/>
              </w:rPr>
              <w:t>activites</w:t>
            </w:r>
            <w:proofErr w:type="spellEnd"/>
            <w:r w:rsidRPr="00621BF1">
              <w:rPr>
                <w:rFonts w:eastAsia="Times New Roman" w:cs="Times New Roman"/>
                <w:color w:val="000000"/>
              </w:rPr>
              <w:t xml:space="preserve"> du programme PEV</w:t>
            </w:r>
          </w:p>
        </w:tc>
      </w:tr>
      <w:tr w:rsidR="00C64E1B" w:rsidRPr="00621BF1" w:rsidTr="005D2ED1">
        <w:trPr>
          <w:trHeight w:val="72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D226FE" w:rsidP="00C64E1B">
            <w:pPr>
              <w:spacing w:after="0" w:line="240" w:lineRule="auto"/>
              <w:rPr>
                <w:rFonts w:eastAsia="Times New Roman" w:cs="Times New Roman"/>
                <w:color w:val="000000"/>
              </w:rPr>
            </w:pPr>
            <w:r w:rsidRPr="00621BF1">
              <w:rPr>
                <w:rFonts w:eastAsia="Times New Roman" w:cs="Times New Roman"/>
                <w:color w:val="000000"/>
              </w:rPr>
              <w:t>Disponibilités</w:t>
            </w:r>
            <w:r w:rsidR="00C64E1B" w:rsidRPr="00621BF1">
              <w:rPr>
                <w:rFonts w:eastAsia="Times New Roman" w:cs="Times New Roman"/>
                <w:color w:val="000000"/>
              </w:rPr>
              <w:t xml:space="preserve"> des plan</w:t>
            </w:r>
            <w:r w:rsidRPr="00621BF1">
              <w:rPr>
                <w:rFonts w:eastAsia="Times New Roman" w:cs="Times New Roman"/>
                <w:color w:val="000000"/>
              </w:rPr>
              <w:t>s</w:t>
            </w:r>
            <w:r w:rsidR="00C64E1B" w:rsidRPr="00621BF1">
              <w:rPr>
                <w:rFonts w:eastAsia="Times New Roman" w:cs="Times New Roman"/>
                <w:color w:val="000000"/>
              </w:rPr>
              <w:t xml:space="preserve"> annuels du programme de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N/A</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d'</w:t>
            </w:r>
            <w:proofErr w:type="spellStart"/>
            <w:r w:rsidRPr="00621BF1">
              <w:rPr>
                <w:rFonts w:eastAsia="Times New Roman" w:cs="Times New Roman"/>
                <w:color w:val="000000"/>
              </w:rPr>
              <w:t>activites</w:t>
            </w:r>
            <w:proofErr w:type="spellEnd"/>
            <w:r w:rsidRPr="00621BF1">
              <w:rPr>
                <w:rFonts w:eastAsia="Times New Roman" w:cs="Times New Roman"/>
                <w:color w:val="000000"/>
              </w:rPr>
              <w:t xml:space="preserve"> du programme PEV</w:t>
            </w:r>
          </w:p>
        </w:tc>
      </w:tr>
      <w:tr w:rsidR="00C64E1B" w:rsidRPr="00621BF1" w:rsidTr="005D2ED1">
        <w:trPr>
          <w:trHeight w:val="72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D226FE" w:rsidP="00C64E1B">
            <w:pPr>
              <w:spacing w:after="0" w:line="240" w:lineRule="auto"/>
              <w:rPr>
                <w:rFonts w:eastAsia="Times New Roman" w:cs="Times New Roman"/>
                <w:color w:val="000000"/>
              </w:rPr>
            </w:pPr>
            <w:r w:rsidRPr="00621BF1">
              <w:rPr>
                <w:rFonts w:eastAsia="Times New Roman" w:cs="Times New Roman"/>
                <w:color w:val="000000"/>
              </w:rPr>
              <w:t>Disponibilités</w:t>
            </w:r>
            <w:r w:rsidR="00C64E1B" w:rsidRPr="00621BF1">
              <w:rPr>
                <w:rFonts w:eastAsia="Times New Roman" w:cs="Times New Roman"/>
                <w:color w:val="000000"/>
              </w:rPr>
              <w:t xml:space="preserve"> du nouveau site pour le PEV, y compris la </w:t>
            </w:r>
            <w:r w:rsidRPr="00621BF1">
              <w:rPr>
                <w:rFonts w:eastAsia="Times New Roman" w:cs="Times New Roman"/>
                <w:color w:val="000000"/>
              </w:rPr>
              <w:t xml:space="preserve">coordination </w:t>
            </w:r>
            <w:r w:rsidR="00C64E1B" w:rsidRPr="00621BF1">
              <w:rPr>
                <w:rFonts w:eastAsia="Times New Roman" w:cs="Times New Roman"/>
                <w:color w:val="000000"/>
              </w:rPr>
              <w:t xml:space="preserve"> nationale </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N/A</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d'</w:t>
            </w:r>
            <w:proofErr w:type="spellStart"/>
            <w:r w:rsidRPr="00621BF1">
              <w:rPr>
                <w:rFonts w:eastAsia="Times New Roman" w:cs="Times New Roman"/>
                <w:color w:val="000000"/>
              </w:rPr>
              <w:t>activites</w:t>
            </w:r>
            <w:proofErr w:type="spellEnd"/>
            <w:r w:rsidRPr="00621BF1">
              <w:rPr>
                <w:rFonts w:eastAsia="Times New Roman" w:cs="Times New Roman"/>
                <w:color w:val="000000"/>
              </w:rPr>
              <w:t xml:space="preserve"> du programme PEV</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Disponibilité du rapport d'évaluation de la revue à mi-parcours du PPAC 2016-2020</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ND</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Bi-</w:t>
            </w:r>
            <w:proofErr w:type="spellStart"/>
            <w:r w:rsidRPr="00621BF1">
              <w:rPr>
                <w:rFonts w:eastAsia="Times New Roman" w:cs="Times New Roman"/>
                <w:color w:val="000000"/>
                <w:lang w:val="en-US"/>
              </w:rPr>
              <w:t>annuel</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Rapport d'</w:t>
            </w:r>
            <w:proofErr w:type="spellStart"/>
            <w:r w:rsidRPr="00621BF1">
              <w:rPr>
                <w:rFonts w:eastAsia="Times New Roman" w:cs="Times New Roman"/>
                <w:color w:val="000000"/>
              </w:rPr>
              <w:t>activites</w:t>
            </w:r>
            <w:proofErr w:type="spellEnd"/>
            <w:r w:rsidRPr="00621BF1">
              <w:rPr>
                <w:rFonts w:eastAsia="Times New Roman" w:cs="Times New Roman"/>
                <w:color w:val="000000"/>
              </w:rPr>
              <w:t xml:space="preserve"> du programme PEV</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Disponibilité du rapport de progrès annuel du programme de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ND</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64E1B" w:rsidRPr="00621BF1" w:rsidTr="005D2ED1">
        <w:trPr>
          <w:trHeight w:val="51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Disponibilité du rapport conjoint OMS/UNICEF</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D226FE" w:rsidP="00C64E1B">
            <w:pPr>
              <w:spacing w:after="0" w:line="240" w:lineRule="auto"/>
              <w:rPr>
                <w:rFonts w:eastAsia="Times New Roman" w:cs="Times New Roman"/>
                <w:color w:val="000000"/>
              </w:rPr>
            </w:pPr>
            <w:r w:rsidRPr="00621BF1">
              <w:rPr>
                <w:rFonts w:eastAsia="Times New Roman" w:cs="Times New Roman"/>
                <w:color w:val="000000"/>
              </w:rPr>
              <w:t>disponibilité</w:t>
            </w:r>
            <w:r w:rsidR="00C64E1B" w:rsidRPr="00621BF1">
              <w:rPr>
                <w:rFonts w:eastAsia="Times New Roman" w:cs="Times New Roman"/>
                <w:color w:val="000000"/>
              </w:rPr>
              <w:t xml:space="preserve"> des rapports d'audit financier annuel</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2014</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lastRenderedPageBreak/>
              <w:t xml:space="preserve">Disponibilité du rapport de situation annuelle de  </w:t>
            </w:r>
            <w:proofErr w:type="spellStart"/>
            <w:r w:rsidRPr="00621BF1">
              <w:rPr>
                <w:rFonts w:eastAsia="Times New Roman" w:cs="Times New Roman"/>
                <w:color w:val="000000"/>
              </w:rPr>
              <w:t>Gavi</w:t>
            </w:r>
            <w:proofErr w:type="spellEnd"/>
            <w:r w:rsidRPr="00621BF1">
              <w:rPr>
                <w:rFonts w:eastAsia="Times New Roman" w:cs="Times New Roman"/>
                <w:color w:val="000000"/>
              </w:rPr>
              <w:t xml:space="preserve"> (RSA)</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64E1B" w:rsidRPr="00621BF1" w:rsidTr="005D2ED1">
        <w:trPr>
          <w:trHeight w:val="51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réunions du CCIA tenues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Trimestriel</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Proces</w:t>
            </w:r>
            <w:proofErr w:type="spellEnd"/>
            <w:r w:rsidRPr="00621BF1">
              <w:rPr>
                <w:rFonts w:eastAsia="Times New Roman" w:cs="Times New Roman"/>
                <w:color w:val="000000"/>
                <w:lang w:val="en-US"/>
              </w:rPr>
              <w:t xml:space="preserve"> verbal des reunions</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rencontres trimestrielles avec les PTF tenues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ND</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NA</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Trimestriel</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Proces</w:t>
            </w:r>
            <w:proofErr w:type="spellEnd"/>
            <w:r w:rsidRPr="00621BF1">
              <w:rPr>
                <w:rFonts w:eastAsia="Times New Roman" w:cs="Times New Roman"/>
                <w:color w:val="000000"/>
                <w:lang w:val="en-US"/>
              </w:rPr>
              <w:t xml:space="preserve"> verbal des reunions</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Disponibilité du cadre de suivi-évaluation du PPAC</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Non</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N/A</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proofErr w:type="spellStart"/>
            <w:r w:rsidRPr="00621BF1">
              <w:rPr>
                <w:rFonts w:eastAsia="Times New Roman" w:cs="Times New Roman"/>
                <w:color w:val="000000"/>
                <w:lang w:val="en-US"/>
              </w:rPr>
              <w:t>oui</w:t>
            </w:r>
            <w:proofErr w:type="spellEnd"/>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64E1B" w:rsidRPr="00621BF1" w:rsidTr="005D2ED1">
        <w:trPr>
          <w:trHeight w:val="48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réunions de CTPS tenues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Semestrielle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Rapport des CTPS</w:t>
            </w:r>
          </w:p>
        </w:tc>
      </w:tr>
      <w:tr w:rsidR="00C64E1B" w:rsidRPr="00621BF1" w:rsidTr="005D2ED1">
        <w:trPr>
          <w:trHeight w:val="52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réunions de CRS tenues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Semestrielle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Rapport des CTRS</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Nombre de réunions des CCS aux chefs-lieux de districts tenues</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Trimestrielle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Rapports des reunions CCS</w:t>
            </w:r>
          </w:p>
        </w:tc>
      </w:tr>
      <w:tr w:rsidR="00C64E1B" w:rsidRPr="00621BF1" w:rsidTr="005D2ED1">
        <w:trPr>
          <w:trHeight w:val="91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du budget national de développement (BND) alloue au secteur de la santé</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3.22%</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4.42%</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6.42%</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8.42%</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10%</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Loi</w:t>
            </w:r>
            <w:proofErr w:type="spellEnd"/>
            <w:r w:rsidRPr="00621BF1">
              <w:rPr>
                <w:rFonts w:eastAsia="Times New Roman" w:cs="Times New Roman"/>
                <w:color w:val="000000"/>
                <w:lang w:val="en-US"/>
              </w:rPr>
              <w:t xml:space="preserve"> des finances/CDMT</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du budget de la santé alloué au programme de vaccination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3%</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4%</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5%</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5%</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CDMT</w:t>
            </w:r>
          </w:p>
        </w:tc>
      </w:tr>
      <w:tr w:rsidR="00C64E1B" w:rsidRPr="00621BF1" w:rsidTr="005D2ED1">
        <w:trPr>
          <w:trHeight w:val="705"/>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Pourcentage des fonds mobilisés par rapport à la prévision</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2015</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proofErr w:type="spellStart"/>
            <w:r w:rsidRPr="00621BF1">
              <w:rPr>
                <w:rFonts w:eastAsia="Times New Roman" w:cs="Times New Roman"/>
                <w:color w:val="000000"/>
                <w:lang w:val="en-US"/>
              </w:rPr>
              <w:t>Annuelle</w:t>
            </w:r>
            <w:proofErr w:type="spellEnd"/>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lang w:val="en-US"/>
              </w:rPr>
            </w:pPr>
            <w:r w:rsidRPr="00621BF1">
              <w:rPr>
                <w:rFonts w:eastAsia="Times New Roman" w:cs="Times New Roman"/>
                <w:color w:val="000000"/>
                <w:lang w:val="en-US"/>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lang w:val="en-US"/>
              </w:rPr>
            </w:pPr>
            <w:r w:rsidRPr="00621BF1">
              <w:rPr>
                <w:rFonts w:eastAsia="Times New Roman" w:cs="Times New Roman"/>
                <w:color w:val="000000"/>
                <w:lang w:val="en-US"/>
              </w:rPr>
              <w:t> </w:t>
            </w:r>
          </w:p>
        </w:tc>
      </w:tr>
      <w:tr w:rsidR="00C64E1B" w:rsidRPr="00621BF1" w:rsidTr="005D2ED1">
        <w:trPr>
          <w:trHeight w:val="105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Proportion du budget annuel utilisée ventilée par type de soutien (en l’occurrence RSS, SSV, SNV, fonds ELMA, etc.)</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r w:rsidR="00C64E1B" w:rsidRPr="00621BF1" w:rsidTr="005D2ED1">
        <w:trPr>
          <w:trHeight w:val="360"/>
        </w:trPr>
        <w:tc>
          <w:tcPr>
            <w:tcW w:w="1735" w:type="pct"/>
            <w:tcBorders>
              <w:top w:val="nil"/>
              <w:left w:val="single" w:sz="8" w:space="0" w:color="808080"/>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lastRenderedPageBreak/>
              <w:t>Pourcentage du budget RSS utilisé par les OSC</w:t>
            </w:r>
          </w:p>
        </w:tc>
        <w:tc>
          <w:tcPr>
            <w:tcW w:w="47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4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453"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47"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23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jc w:val="center"/>
              <w:rPr>
                <w:rFonts w:eastAsia="Times New Roman" w:cs="Times New Roman"/>
                <w:color w:val="000000"/>
              </w:rPr>
            </w:pPr>
            <w:r w:rsidRPr="00621BF1">
              <w:rPr>
                <w:rFonts w:eastAsia="Times New Roman" w:cs="Times New Roman"/>
                <w:color w:val="000000"/>
              </w:rPr>
              <w:t> </w:t>
            </w:r>
          </w:p>
        </w:tc>
        <w:tc>
          <w:tcPr>
            <w:tcW w:w="692" w:type="pct"/>
            <w:tcBorders>
              <w:top w:val="nil"/>
              <w:left w:val="nil"/>
              <w:bottom w:val="single" w:sz="8" w:space="0" w:color="808080"/>
              <w:right w:val="single" w:sz="8" w:space="0" w:color="808080"/>
            </w:tcBorders>
            <w:shd w:val="clear" w:color="auto" w:fill="auto"/>
            <w:vAlign w:val="center"/>
            <w:hideMark/>
          </w:tcPr>
          <w:p w:rsidR="00C64E1B" w:rsidRPr="00621BF1" w:rsidRDefault="00C64E1B" w:rsidP="00C64E1B">
            <w:pPr>
              <w:spacing w:after="0" w:line="240" w:lineRule="auto"/>
              <w:rPr>
                <w:rFonts w:eastAsia="Times New Roman" w:cs="Times New Roman"/>
                <w:color w:val="000000"/>
              </w:rPr>
            </w:pPr>
            <w:r w:rsidRPr="00621BF1">
              <w:rPr>
                <w:rFonts w:eastAsia="Times New Roman" w:cs="Times New Roman"/>
                <w:color w:val="000000"/>
              </w:rPr>
              <w:t> </w:t>
            </w:r>
          </w:p>
        </w:tc>
      </w:tr>
    </w:tbl>
    <w:p w:rsidR="00442D67" w:rsidRPr="00621BF1" w:rsidRDefault="00442D67" w:rsidP="00A76AE5">
      <w:pPr>
        <w:autoSpaceDE w:val="0"/>
        <w:autoSpaceDN w:val="0"/>
        <w:adjustRightInd w:val="0"/>
        <w:spacing w:after="120"/>
        <w:jc w:val="both"/>
        <w:rPr>
          <w:rFonts w:cs="Arial"/>
          <w:b/>
        </w:rPr>
        <w:sectPr w:rsidR="00442D67" w:rsidRPr="00621BF1" w:rsidSect="002A5AFB">
          <w:type w:val="continuous"/>
          <w:pgSz w:w="16838" w:h="11906" w:orient="landscape"/>
          <w:pgMar w:top="1440" w:right="1080" w:bottom="1440" w:left="1080" w:header="720" w:footer="720" w:gutter="0"/>
          <w:cols w:space="720"/>
          <w:docGrid w:linePitch="360"/>
        </w:sectPr>
      </w:pPr>
    </w:p>
    <w:p w:rsidR="00431B9D" w:rsidRPr="00621BF1" w:rsidRDefault="00431B9D" w:rsidP="004E32E1">
      <w:pPr>
        <w:pStyle w:val="Titre2"/>
      </w:pPr>
      <w:bookmarkStart w:id="194" w:name="_Toc433367246"/>
      <w:bookmarkStart w:id="195" w:name="_Toc452745794"/>
      <w:bookmarkStart w:id="196" w:name="_Toc452746526"/>
      <w:bookmarkStart w:id="197" w:name="_Toc452747545"/>
      <w:bookmarkStart w:id="198" w:name="_Toc458593669"/>
      <w:bookmarkStart w:id="199" w:name="_Toc433367251"/>
      <w:r w:rsidRPr="00621BF1">
        <w:lastRenderedPageBreak/>
        <w:t>COUT ET FINANCEMENT  DU PPAC 2016-2020</w:t>
      </w:r>
      <w:bookmarkEnd w:id="194"/>
      <w:bookmarkEnd w:id="195"/>
      <w:bookmarkEnd w:id="196"/>
      <w:bookmarkEnd w:id="197"/>
      <w:bookmarkEnd w:id="198"/>
      <w:r w:rsidRPr="00621BF1">
        <w:t xml:space="preserve"> </w:t>
      </w:r>
    </w:p>
    <w:p w:rsidR="00621BF1" w:rsidRPr="00621BF1" w:rsidRDefault="00621BF1" w:rsidP="00621BF1">
      <w:pPr>
        <w:pStyle w:val="Titre3"/>
      </w:pPr>
      <w:bookmarkStart w:id="200" w:name="_Toc458593670"/>
      <w:r w:rsidRPr="00621BF1">
        <w:t>ANALYSE DES COUTS ET FINACEMENTS</w:t>
      </w:r>
      <w:bookmarkEnd w:id="200"/>
    </w:p>
    <w:p w:rsidR="00621BF1" w:rsidRDefault="00621BF1" w:rsidP="00621BF1">
      <w:pPr>
        <w:autoSpaceDE w:val="0"/>
        <w:autoSpaceDN w:val="0"/>
        <w:adjustRightInd w:val="0"/>
        <w:spacing w:after="0" w:line="240" w:lineRule="auto"/>
        <w:jc w:val="both"/>
        <w:rPr>
          <w:rFonts w:cs="Times New Roman"/>
          <w:b/>
          <w:color w:val="000000"/>
          <w:sz w:val="24"/>
          <w:szCs w:val="24"/>
        </w:rPr>
      </w:pPr>
    </w:p>
    <w:p w:rsidR="00621BF1" w:rsidRPr="00621BF1" w:rsidRDefault="00621BF1" w:rsidP="00621BF1">
      <w:pPr>
        <w:pStyle w:val="Titre4"/>
        <w:rPr>
          <w:sz w:val="24"/>
        </w:rPr>
      </w:pPr>
      <w:r w:rsidRPr="00621BF1">
        <w:rPr>
          <w:sz w:val="24"/>
        </w:rPr>
        <w:t xml:space="preserve">Méthodologie de détermination et d’analyse financière des coûts du </w:t>
      </w:r>
      <w:proofErr w:type="spellStart"/>
      <w:r w:rsidRPr="00621BF1">
        <w:rPr>
          <w:sz w:val="24"/>
        </w:rPr>
        <w:t>PPAc</w:t>
      </w:r>
      <w:proofErr w:type="spellEnd"/>
    </w:p>
    <w:p w:rsidR="00621BF1" w:rsidRPr="00621BF1" w:rsidRDefault="00621BF1" w:rsidP="00621BF1">
      <w:pPr>
        <w:autoSpaceDE w:val="0"/>
        <w:autoSpaceDN w:val="0"/>
        <w:adjustRightInd w:val="0"/>
        <w:spacing w:line="240" w:lineRule="auto"/>
        <w:jc w:val="both"/>
        <w:rPr>
          <w:rFonts w:cs="Times New Roman"/>
          <w:color w:val="000000"/>
          <w:sz w:val="24"/>
          <w:szCs w:val="24"/>
        </w:rPr>
      </w:pPr>
      <w:r w:rsidRPr="00621BF1">
        <w:rPr>
          <w:rFonts w:cs="Times New Roman"/>
          <w:color w:val="000000"/>
          <w:sz w:val="24"/>
          <w:szCs w:val="24"/>
        </w:rPr>
        <w:t xml:space="preserve">La détermination et l’analyse financière des coûts du </w:t>
      </w:r>
      <w:proofErr w:type="spellStart"/>
      <w:r w:rsidRPr="00621BF1">
        <w:rPr>
          <w:rFonts w:cs="Times New Roman"/>
          <w:color w:val="000000"/>
          <w:sz w:val="24"/>
          <w:szCs w:val="24"/>
        </w:rPr>
        <w:t>PPAc</w:t>
      </w:r>
      <w:proofErr w:type="spellEnd"/>
      <w:r w:rsidRPr="00621BF1">
        <w:rPr>
          <w:rFonts w:cs="Times New Roman"/>
          <w:color w:val="000000"/>
          <w:sz w:val="24"/>
          <w:szCs w:val="24"/>
        </w:rPr>
        <w:t xml:space="preserve"> 2016-2018 ont été faites par l’utilisation de l’outil du </w:t>
      </w:r>
      <w:proofErr w:type="spellStart"/>
      <w:r w:rsidRPr="00621BF1">
        <w:rPr>
          <w:rFonts w:cs="Times New Roman"/>
          <w:color w:val="000000"/>
          <w:sz w:val="24"/>
          <w:szCs w:val="24"/>
        </w:rPr>
        <w:t>Costing</w:t>
      </w:r>
      <w:proofErr w:type="spellEnd"/>
      <w:r w:rsidRPr="00621BF1">
        <w:rPr>
          <w:rFonts w:cs="Times New Roman"/>
          <w:color w:val="000000"/>
          <w:sz w:val="24"/>
          <w:szCs w:val="24"/>
        </w:rPr>
        <w:t xml:space="preserve"> version 3.9.3 de mai 2016.  Cet outil qui a été dûment rempli a permis d’analyser les écarts de financements.</w:t>
      </w:r>
    </w:p>
    <w:p w:rsidR="00621BF1" w:rsidRPr="00621BF1" w:rsidRDefault="00621BF1" w:rsidP="00621BF1">
      <w:pPr>
        <w:autoSpaceDE w:val="0"/>
        <w:autoSpaceDN w:val="0"/>
        <w:adjustRightInd w:val="0"/>
        <w:spacing w:line="240" w:lineRule="auto"/>
        <w:jc w:val="both"/>
        <w:rPr>
          <w:rFonts w:cs="Times New Roman"/>
          <w:color w:val="000000"/>
          <w:sz w:val="24"/>
          <w:szCs w:val="24"/>
        </w:rPr>
      </w:pPr>
      <w:r w:rsidRPr="00621BF1">
        <w:rPr>
          <w:rFonts w:cs="Times New Roman"/>
          <w:color w:val="000000"/>
          <w:sz w:val="24"/>
          <w:szCs w:val="24"/>
        </w:rPr>
        <w:t xml:space="preserve">Après la revue des documents disponibles dans les secteurs impliqués par cet exercice, les données permettant de déterminer les coûts récurrents et les coûts en capital ainsi que les coûts partagés du Programme Elargi de Vaccination ont été collectées, vérifiées et validées avant d’être saisies dans l’Outil du </w:t>
      </w:r>
      <w:proofErr w:type="spellStart"/>
      <w:r w:rsidRPr="00621BF1">
        <w:rPr>
          <w:rFonts w:cs="Times New Roman"/>
          <w:color w:val="000000"/>
          <w:sz w:val="24"/>
          <w:szCs w:val="24"/>
        </w:rPr>
        <w:t>Costing</w:t>
      </w:r>
      <w:proofErr w:type="spellEnd"/>
      <w:r w:rsidRPr="00621BF1">
        <w:rPr>
          <w:rFonts w:cs="Times New Roman"/>
          <w:color w:val="000000"/>
          <w:sz w:val="24"/>
          <w:szCs w:val="24"/>
        </w:rPr>
        <w:t>.</w:t>
      </w:r>
    </w:p>
    <w:p w:rsidR="00621BF1" w:rsidRPr="00621BF1" w:rsidRDefault="00621BF1" w:rsidP="00621BF1">
      <w:pPr>
        <w:autoSpaceDE w:val="0"/>
        <w:autoSpaceDN w:val="0"/>
        <w:adjustRightInd w:val="0"/>
        <w:spacing w:line="240" w:lineRule="auto"/>
        <w:jc w:val="both"/>
        <w:rPr>
          <w:rFonts w:cs="Times New Roman"/>
          <w:color w:val="000000"/>
          <w:sz w:val="24"/>
          <w:szCs w:val="24"/>
        </w:rPr>
      </w:pPr>
      <w:r w:rsidRPr="00621BF1">
        <w:rPr>
          <w:rFonts w:cs="Times New Roman"/>
          <w:color w:val="000000"/>
          <w:sz w:val="24"/>
          <w:szCs w:val="24"/>
        </w:rPr>
        <w:t>Les coûts obtenus au bout de l’exercice sont certainement sous-estimés surtout en ce qui concerne les coûts actuels car, il n’est pas aisé de reconstituer les données sur le financement du programme.</w:t>
      </w:r>
    </w:p>
    <w:p w:rsidR="00621BF1" w:rsidRPr="00621BF1" w:rsidRDefault="00621BF1" w:rsidP="00621BF1">
      <w:pPr>
        <w:pStyle w:val="Titre4"/>
        <w:rPr>
          <w:sz w:val="24"/>
        </w:rPr>
      </w:pPr>
      <w:r w:rsidRPr="00621BF1">
        <w:rPr>
          <w:sz w:val="24"/>
        </w:rPr>
        <w:t>Coût de l’année de base 2015</w:t>
      </w:r>
    </w:p>
    <w:p w:rsidR="00621BF1" w:rsidRPr="00621BF1" w:rsidRDefault="00621BF1" w:rsidP="00621BF1">
      <w:pPr>
        <w:autoSpaceDE w:val="0"/>
        <w:autoSpaceDN w:val="0"/>
        <w:adjustRightInd w:val="0"/>
        <w:spacing w:line="240" w:lineRule="auto"/>
        <w:jc w:val="both"/>
        <w:rPr>
          <w:rFonts w:cs="Times New Roman"/>
          <w:color w:val="000000"/>
          <w:sz w:val="24"/>
          <w:szCs w:val="24"/>
        </w:rPr>
      </w:pPr>
      <w:r w:rsidRPr="00621BF1">
        <w:rPr>
          <w:rFonts w:cs="Times New Roman"/>
          <w:color w:val="000000"/>
          <w:sz w:val="24"/>
          <w:szCs w:val="24"/>
        </w:rPr>
        <w:t xml:space="preserve">Le coût total de l’année de base 2015 est de </w:t>
      </w:r>
      <w:r w:rsidR="004B4D08" w:rsidRPr="00545CD3">
        <w:rPr>
          <w:rFonts w:ascii="Times New Roman" w:eastAsia="Times New Roman" w:hAnsi="Times New Roman" w:cs="Times New Roman"/>
          <w:b/>
          <w:bCs/>
          <w:color w:val="000000"/>
          <w:sz w:val="24"/>
          <w:szCs w:val="24"/>
          <w:lang w:eastAsia="fr-FR"/>
        </w:rPr>
        <w:t>9 416 056</w:t>
      </w:r>
      <w:r w:rsidRPr="00621BF1">
        <w:rPr>
          <w:rFonts w:cs="Times New Roman"/>
          <w:color w:val="000000"/>
          <w:sz w:val="24"/>
          <w:szCs w:val="24"/>
        </w:rPr>
        <w:t xml:space="preserve"> USD. Cette situation peut être présentée dans le tableau ci-après.</w:t>
      </w:r>
    </w:p>
    <w:p w:rsidR="00621BF1" w:rsidRPr="00621BF1" w:rsidRDefault="00621BF1" w:rsidP="00621BF1">
      <w:pPr>
        <w:pStyle w:val="Lgende"/>
        <w:jc w:val="left"/>
        <w:rPr>
          <w:rFonts w:cs="Times New Roman"/>
          <w:b/>
          <w:color w:val="000000"/>
          <w:szCs w:val="24"/>
        </w:rPr>
      </w:pPr>
      <w:bookmarkStart w:id="201" w:name="_Toc456109494"/>
      <w:r>
        <w:t xml:space="preserve">Tableau </w:t>
      </w:r>
      <w:r w:rsidR="00B51B2E">
        <w:fldChar w:fldCharType="begin"/>
      </w:r>
      <w:r>
        <w:instrText xml:space="preserve"> SEQ Tableau \* ARABIC </w:instrText>
      </w:r>
      <w:r w:rsidR="00B51B2E">
        <w:fldChar w:fldCharType="separate"/>
      </w:r>
      <w:r w:rsidR="00DC4EEF">
        <w:rPr>
          <w:noProof/>
        </w:rPr>
        <w:t>28</w:t>
      </w:r>
      <w:r w:rsidR="00B51B2E">
        <w:fldChar w:fldCharType="end"/>
      </w:r>
      <w:r>
        <w:t xml:space="preserve">: </w:t>
      </w:r>
      <w:r w:rsidRPr="00934CD6">
        <w:t>Composition du coût de l’année de base 2015</w:t>
      </w:r>
      <w:bookmarkEnd w:id="201"/>
    </w:p>
    <w:tbl>
      <w:tblPr>
        <w:tblStyle w:val="Grilledutableau"/>
        <w:tblW w:w="9634" w:type="dxa"/>
        <w:tblLook w:val="04A0" w:firstRow="1" w:lastRow="0" w:firstColumn="1" w:lastColumn="0" w:noHBand="0" w:noVBand="1"/>
      </w:tblPr>
      <w:tblGrid>
        <w:gridCol w:w="1052"/>
        <w:gridCol w:w="6323"/>
        <w:gridCol w:w="2259"/>
      </w:tblGrid>
      <w:tr w:rsidR="00621BF1" w:rsidRPr="00621BF1" w:rsidTr="00AA70AB">
        <w:tc>
          <w:tcPr>
            <w:tcW w:w="1052" w:type="dxa"/>
            <w:shd w:val="clear" w:color="auto" w:fill="C45911" w:themeFill="accent2" w:themeFillShade="BF"/>
            <w:vAlign w:val="center"/>
          </w:tcPr>
          <w:p w:rsidR="00621BF1" w:rsidRPr="00621BF1" w:rsidRDefault="00621BF1" w:rsidP="00405A2E">
            <w:pPr>
              <w:autoSpaceDE w:val="0"/>
              <w:autoSpaceDN w:val="0"/>
              <w:adjustRightInd w:val="0"/>
              <w:jc w:val="center"/>
              <w:rPr>
                <w:rFonts w:cs="Times New Roman"/>
                <w:b/>
                <w:color w:val="FFFFFF" w:themeColor="background1"/>
                <w:sz w:val="24"/>
                <w:szCs w:val="24"/>
              </w:rPr>
            </w:pPr>
            <w:r w:rsidRPr="00621BF1">
              <w:rPr>
                <w:rFonts w:cs="Times New Roman"/>
                <w:b/>
                <w:color w:val="FFFFFF" w:themeColor="background1"/>
                <w:sz w:val="24"/>
                <w:szCs w:val="24"/>
              </w:rPr>
              <w:t xml:space="preserve">N° </w:t>
            </w:r>
            <w:proofErr w:type="spellStart"/>
            <w:r w:rsidRPr="00621BF1">
              <w:rPr>
                <w:rFonts w:cs="Times New Roman"/>
                <w:b/>
                <w:color w:val="FFFFFF" w:themeColor="background1"/>
                <w:sz w:val="24"/>
                <w:szCs w:val="24"/>
              </w:rPr>
              <w:t>d’ordre</w:t>
            </w:r>
            <w:proofErr w:type="spellEnd"/>
          </w:p>
        </w:tc>
        <w:tc>
          <w:tcPr>
            <w:tcW w:w="6323" w:type="dxa"/>
            <w:shd w:val="clear" w:color="auto" w:fill="C45911" w:themeFill="accent2" w:themeFillShade="BF"/>
            <w:vAlign w:val="center"/>
          </w:tcPr>
          <w:p w:rsidR="00621BF1" w:rsidRPr="00621BF1" w:rsidRDefault="00621BF1" w:rsidP="00405A2E">
            <w:pPr>
              <w:autoSpaceDE w:val="0"/>
              <w:autoSpaceDN w:val="0"/>
              <w:adjustRightInd w:val="0"/>
              <w:jc w:val="center"/>
              <w:rPr>
                <w:rFonts w:cs="Times New Roman"/>
                <w:b/>
                <w:color w:val="FFFFFF" w:themeColor="background1"/>
                <w:sz w:val="24"/>
                <w:szCs w:val="24"/>
              </w:rPr>
            </w:pPr>
            <w:proofErr w:type="spellStart"/>
            <w:r w:rsidRPr="00621BF1">
              <w:rPr>
                <w:rFonts w:cs="Times New Roman"/>
                <w:b/>
                <w:color w:val="FFFFFF" w:themeColor="background1"/>
                <w:sz w:val="24"/>
                <w:szCs w:val="24"/>
              </w:rPr>
              <w:t>Rubrique</w:t>
            </w:r>
            <w:proofErr w:type="spellEnd"/>
          </w:p>
        </w:tc>
        <w:tc>
          <w:tcPr>
            <w:tcW w:w="2259" w:type="dxa"/>
            <w:shd w:val="clear" w:color="auto" w:fill="C45911" w:themeFill="accent2" w:themeFillShade="BF"/>
            <w:vAlign w:val="center"/>
          </w:tcPr>
          <w:p w:rsidR="00621BF1" w:rsidRPr="00621BF1" w:rsidRDefault="00621BF1" w:rsidP="00405A2E">
            <w:pPr>
              <w:autoSpaceDE w:val="0"/>
              <w:autoSpaceDN w:val="0"/>
              <w:adjustRightInd w:val="0"/>
              <w:jc w:val="center"/>
              <w:rPr>
                <w:rFonts w:cs="Times New Roman"/>
                <w:b/>
                <w:color w:val="FFFFFF" w:themeColor="background1"/>
                <w:sz w:val="24"/>
                <w:szCs w:val="24"/>
              </w:rPr>
            </w:pPr>
            <w:proofErr w:type="spellStart"/>
            <w:r w:rsidRPr="00621BF1">
              <w:rPr>
                <w:rFonts w:cs="Times New Roman"/>
                <w:b/>
                <w:color w:val="FFFFFF" w:themeColor="background1"/>
                <w:sz w:val="24"/>
                <w:szCs w:val="24"/>
              </w:rPr>
              <w:t>Montant</w:t>
            </w:r>
            <w:proofErr w:type="spellEnd"/>
            <w:r w:rsidRPr="00621BF1">
              <w:rPr>
                <w:rFonts w:cs="Times New Roman"/>
                <w:b/>
                <w:color w:val="FFFFFF" w:themeColor="background1"/>
                <w:sz w:val="24"/>
                <w:szCs w:val="24"/>
              </w:rPr>
              <w:t xml:space="preserve"> (USD)</w:t>
            </w:r>
          </w:p>
        </w:tc>
      </w:tr>
      <w:tr w:rsidR="00621BF1" w:rsidRPr="00621BF1" w:rsidTr="00AA70AB">
        <w:trPr>
          <w:trHeight w:val="715"/>
        </w:trPr>
        <w:tc>
          <w:tcPr>
            <w:tcW w:w="1052" w:type="dxa"/>
            <w:vAlign w:val="bottom"/>
          </w:tcPr>
          <w:p w:rsidR="00621BF1" w:rsidRPr="00621BF1" w:rsidRDefault="00621BF1" w:rsidP="00621BF1">
            <w:pPr>
              <w:autoSpaceDE w:val="0"/>
              <w:autoSpaceDN w:val="0"/>
              <w:adjustRightInd w:val="0"/>
              <w:spacing w:line="240" w:lineRule="auto"/>
              <w:jc w:val="center"/>
              <w:rPr>
                <w:rFonts w:cs="Times New Roman"/>
                <w:color w:val="000000"/>
                <w:sz w:val="24"/>
                <w:szCs w:val="24"/>
              </w:rPr>
            </w:pPr>
            <w:r w:rsidRPr="00621BF1">
              <w:rPr>
                <w:rFonts w:cs="Times New Roman"/>
                <w:color w:val="000000"/>
                <w:sz w:val="24"/>
                <w:szCs w:val="24"/>
              </w:rPr>
              <w:t>1</w:t>
            </w:r>
          </w:p>
        </w:tc>
        <w:tc>
          <w:tcPr>
            <w:tcW w:w="6323" w:type="dxa"/>
          </w:tcPr>
          <w:p w:rsidR="00621BF1" w:rsidRPr="00621BF1" w:rsidRDefault="00621BF1" w:rsidP="00621BF1">
            <w:pPr>
              <w:autoSpaceDE w:val="0"/>
              <w:autoSpaceDN w:val="0"/>
              <w:adjustRightInd w:val="0"/>
              <w:spacing w:line="240" w:lineRule="auto"/>
              <w:jc w:val="both"/>
              <w:rPr>
                <w:rFonts w:cs="Times New Roman"/>
                <w:color w:val="000000"/>
                <w:sz w:val="24"/>
                <w:szCs w:val="24"/>
                <w:lang w:val="fr-FR"/>
              </w:rPr>
            </w:pPr>
            <w:r w:rsidRPr="00621BF1">
              <w:rPr>
                <w:rFonts w:cs="Times New Roman"/>
                <w:color w:val="000000"/>
                <w:sz w:val="24"/>
                <w:szCs w:val="24"/>
                <w:lang w:val="fr-FR"/>
              </w:rPr>
              <w:t>Approvisionnement en vaccins et logistique (vaccination systématique)</w:t>
            </w:r>
          </w:p>
        </w:tc>
        <w:tc>
          <w:tcPr>
            <w:tcW w:w="2259" w:type="dxa"/>
            <w:vAlign w:val="bottom"/>
          </w:tcPr>
          <w:p w:rsidR="00621BF1" w:rsidRPr="00621BF1" w:rsidRDefault="00AA0EA0" w:rsidP="00621BF1">
            <w:pPr>
              <w:autoSpaceDE w:val="0"/>
              <w:autoSpaceDN w:val="0"/>
              <w:adjustRightInd w:val="0"/>
              <w:spacing w:line="240" w:lineRule="auto"/>
              <w:jc w:val="right"/>
              <w:rPr>
                <w:rFonts w:cs="Times New Roman"/>
                <w:color w:val="000000"/>
                <w:sz w:val="24"/>
                <w:szCs w:val="24"/>
              </w:rPr>
            </w:pPr>
            <w:r w:rsidRPr="00545CD3">
              <w:rPr>
                <w:rFonts w:ascii="Times New Roman" w:eastAsia="Times New Roman" w:hAnsi="Times New Roman" w:cs="Times New Roman"/>
                <w:color w:val="000000"/>
                <w:sz w:val="24"/>
                <w:szCs w:val="24"/>
              </w:rPr>
              <w:t xml:space="preserve">3 250 991   </w:t>
            </w:r>
          </w:p>
        </w:tc>
      </w:tr>
      <w:tr w:rsidR="00621BF1" w:rsidRPr="00621BF1" w:rsidTr="00AA70AB">
        <w:trPr>
          <w:trHeight w:val="274"/>
        </w:trPr>
        <w:tc>
          <w:tcPr>
            <w:tcW w:w="1052" w:type="dxa"/>
            <w:vAlign w:val="bottom"/>
          </w:tcPr>
          <w:p w:rsidR="00621BF1" w:rsidRPr="00621BF1" w:rsidRDefault="00621BF1" w:rsidP="00621BF1">
            <w:pPr>
              <w:autoSpaceDE w:val="0"/>
              <w:autoSpaceDN w:val="0"/>
              <w:adjustRightInd w:val="0"/>
              <w:spacing w:line="240" w:lineRule="auto"/>
              <w:jc w:val="center"/>
              <w:rPr>
                <w:rFonts w:cs="Times New Roman"/>
                <w:color w:val="000000"/>
                <w:sz w:val="24"/>
                <w:szCs w:val="24"/>
              </w:rPr>
            </w:pPr>
            <w:r w:rsidRPr="00621BF1">
              <w:rPr>
                <w:rFonts w:cs="Times New Roman"/>
                <w:color w:val="000000"/>
                <w:sz w:val="24"/>
                <w:szCs w:val="24"/>
              </w:rPr>
              <w:t>2</w:t>
            </w:r>
          </w:p>
        </w:tc>
        <w:tc>
          <w:tcPr>
            <w:tcW w:w="6323" w:type="dxa"/>
          </w:tcPr>
          <w:p w:rsidR="00621BF1" w:rsidRPr="00621BF1" w:rsidRDefault="00621BF1" w:rsidP="00621BF1">
            <w:pPr>
              <w:autoSpaceDE w:val="0"/>
              <w:autoSpaceDN w:val="0"/>
              <w:adjustRightInd w:val="0"/>
              <w:spacing w:line="240" w:lineRule="auto"/>
              <w:jc w:val="both"/>
              <w:rPr>
                <w:rFonts w:cs="Times New Roman"/>
                <w:color w:val="000000"/>
                <w:sz w:val="24"/>
                <w:szCs w:val="24"/>
              </w:rPr>
            </w:pPr>
            <w:proofErr w:type="spellStart"/>
            <w:r w:rsidRPr="00621BF1">
              <w:rPr>
                <w:rFonts w:cs="Times New Roman"/>
                <w:color w:val="000000"/>
                <w:sz w:val="24"/>
                <w:szCs w:val="24"/>
              </w:rPr>
              <w:t>Prestations</w:t>
            </w:r>
            <w:proofErr w:type="spellEnd"/>
            <w:r w:rsidRPr="00621BF1">
              <w:rPr>
                <w:rFonts w:cs="Times New Roman"/>
                <w:color w:val="000000"/>
                <w:sz w:val="24"/>
                <w:szCs w:val="24"/>
              </w:rPr>
              <w:t xml:space="preserve"> de services</w:t>
            </w:r>
          </w:p>
        </w:tc>
        <w:tc>
          <w:tcPr>
            <w:tcW w:w="2259" w:type="dxa"/>
            <w:vAlign w:val="bottom"/>
          </w:tcPr>
          <w:p w:rsidR="00621BF1" w:rsidRPr="00621BF1" w:rsidRDefault="00621BF1" w:rsidP="00AE07FF">
            <w:pPr>
              <w:autoSpaceDE w:val="0"/>
              <w:autoSpaceDN w:val="0"/>
              <w:adjustRightInd w:val="0"/>
              <w:spacing w:line="240" w:lineRule="auto"/>
              <w:jc w:val="right"/>
              <w:rPr>
                <w:rFonts w:cs="Times New Roman"/>
                <w:color w:val="000000"/>
                <w:sz w:val="24"/>
                <w:szCs w:val="24"/>
              </w:rPr>
            </w:pPr>
            <w:r w:rsidRPr="00621BF1">
              <w:rPr>
                <w:rFonts w:cs="Times New Roman"/>
                <w:color w:val="000000"/>
                <w:sz w:val="24"/>
                <w:szCs w:val="24"/>
              </w:rPr>
              <w:t>1 27</w:t>
            </w:r>
            <w:r w:rsidR="00AE07FF">
              <w:rPr>
                <w:rFonts w:cs="Times New Roman"/>
                <w:color w:val="000000"/>
                <w:sz w:val="24"/>
                <w:szCs w:val="24"/>
              </w:rPr>
              <w:t>6</w:t>
            </w:r>
            <w:r w:rsidRPr="00621BF1">
              <w:rPr>
                <w:rFonts w:cs="Times New Roman"/>
                <w:color w:val="000000"/>
                <w:sz w:val="24"/>
                <w:szCs w:val="24"/>
              </w:rPr>
              <w:t xml:space="preserve"> </w:t>
            </w:r>
            <w:r w:rsidR="00AE07FF">
              <w:rPr>
                <w:rFonts w:cs="Times New Roman"/>
                <w:color w:val="000000"/>
                <w:sz w:val="24"/>
                <w:szCs w:val="24"/>
              </w:rPr>
              <w:t>168</w:t>
            </w:r>
          </w:p>
        </w:tc>
      </w:tr>
      <w:tr w:rsidR="00621BF1" w:rsidRPr="00621BF1" w:rsidTr="00AA70AB">
        <w:tc>
          <w:tcPr>
            <w:tcW w:w="1052" w:type="dxa"/>
            <w:vAlign w:val="bottom"/>
          </w:tcPr>
          <w:p w:rsidR="00621BF1" w:rsidRPr="00621BF1" w:rsidRDefault="00621BF1" w:rsidP="00621BF1">
            <w:pPr>
              <w:autoSpaceDE w:val="0"/>
              <w:autoSpaceDN w:val="0"/>
              <w:adjustRightInd w:val="0"/>
              <w:spacing w:line="240" w:lineRule="auto"/>
              <w:jc w:val="center"/>
              <w:rPr>
                <w:rFonts w:cs="Times New Roman"/>
                <w:color w:val="000000"/>
                <w:sz w:val="24"/>
                <w:szCs w:val="24"/>
              </w:rPr>
            </w:pPr>
            <w:r w:rsidRPr="00621BF1">
              <w:rPr>
                <w:rFonts w:cs="Times New Roman"/>
                <w:color w:val="000000"/>
                <w:sz w:val="24"/>
                <w:szCs w:val="24"/>
              </w:rPr>
              <w:t>3</w:t>
            </w:r>
          </w:p>
        </w:tc>
        <w:tc>
          <w:tcPr>
            <w:tcW w:w="6323" w:type="dxa"/>
          </w:tcPr>
          <w:p w:rsidR="00621BF1" w:rsidRPr="00621BF1" w:rsidRDefault="00621BF1" w:rsidP="00621BF1">
            <w:pPr>
              <w:autoSpaceDE w:val="0"/>
              <w:autoSpaceDN w:val="0"/>
              <w:adjustRightInd w:val="0"/>
              <w:spacing w:line="240" w:lineRule="auto"/>
              <w:jc w:val="both"/>
              <w:rPr>
                <w:rFonts w:cs="Times New Roman"/>
                <w:color w:val="000000"/>
                <w:sz w:val="24"/>
                <w:szCs w:val="24"/>
              </w:rPr>
            </w:pPr>
            <w:proofErr w:type="spellStart"/>
            <w:r w:rsidRPr="00621BF1">
              <w:rPr>
                <w:rFonts w:cs="Times New Roman"/>
                <w:color w:val="000000"/>
                <w:sz w:val="24"/>
                <w:szCs w:val="24"/>
              </w:rPr>
              <w:t>Plaidoyer</w:t>
            </w:r>
            <w:proofErr w:type="spellEnd"/>
            <w:r w:rsidRPr="00621BF1">
              <w:rPr>
                <w:rFonts w:cs="Times New Roman"/>
                <w:color w:val="000000"/>
                <w:sz w:val="24"/>
                <w:szCs w:val="24"/>
              </w:rPr>
              <w:t xml:space="preserve"> et communication</w:t>
            </w:r>
          </w:p>
        </w:tc>
        <w:tc>
          <w:tcPr>
            <w:tcW w:w="2259" w:type="dxa"/>
            <w:vAlign w:val="bottom"/>
          </w:tcPr>
          <w:p w:rsidR="00621BF1" w:rsidRPr="00621BF1" w:rsidRDefault="00621BF1" w:rsidP="00621BF1">
            <w:pPr>
              <w:autoSpaceDE w:val="0"/>
              <w:autoSpaceDN w:val="0"/>
              <w:adjustRightInd w:val="0"/>
              <w:spacing w:line="240" w:lineRule="auto"/>
              <w:jc w:val="center"/>
              <w:rPr>
                <w:rFonts w:cs="Times New Roman"/>
                <w:color w:val="000000"/>
                <w:sz w:val="24"/>
                <w:szCs w:val="24"/>
              </w:rPr>
            </w:pPr>
            <w:r w:rsidRPr="00621BF1">
              <w:rPr>
                <w:rFonts w:cs="Times New Roman"/>
                <w:color w:val="000000"/>
                <w:sz w:val="24"/>
                <w:szCs w:val="24"/>
              </w:rPr>
              <w:t>-</w:t>
            </w:r>
          </w:p>
        </w:tc>
      </w:tr>
      <w:tr w:rsidR="00621BF1" w:rsidRPr="00621BF1" w:rsidTr="00AA70AB">
        <w:tc>
          <w:tcPr>
            <w:tcW w:w="1052" w:type="dxa"/>
            <w:vAlign w:val="bottom"/>
          </w:tcPr>
          <w:p w:rsidR="00621BF1" w:rsidRPr="00621BF1" w:rsidRDefault="00621BF1" w:rsidP="00621BF1">
            <w:pPr>
              <w:autoSpaceDE w:val="0"/>
              <w:autoSpaceDN w:val="0"/>
              <w:adjustRightInd w:val="0"/>
              <w:spacing w:line="240" w:lineRule="auto"/>
              <w:jc w:val="center"/>
              <w:rPr>
                <w:rFonts w:cs="Times New Roman"/>
                <w:color w:val="000000"/>
                <w:sz w:val="24"/>
                <w:szCs w:val="24"/>
              </w:rPr>
            </w:pPr>
            <w:r w:rsidRPr="00621BF1">
              <w:rPr>
                <w:rFonts w:cs="Times New Roman"/>
                <w:color w:val="000000"/>
                <w:sz w:val="24"/>
                <w:szCs w:val="24"/>
              </w:rPr>
              <w:t>4</w:t>
            </w:r>
          </w:p>
        </w:tc>
        <w:tc>
          <w:tcPr>
            <w:tcW w:w="6323" w:type="dxa"/>
          </w:tcPr>
          <w:p w:rsidR="00621BF1" w:rsidRPr="00621BF1" w:rsidRDefault="00621BF1" w:rsidP="00621BF1">
            <w:pPr>
              <w:autoSpaceDE w:val="0"/>
              <w:autoSpaceDN w:val="0"/>
              <w:adjustRightInd w:val="0"/>
              <w:spacing w:line="240" w:lineRule="auto"/>
              <w:jc w:val="both"/>
              <w:rPr>
                <w:rFonts w:cs="Times New Roman"/>
                <w:color w:val="000000"/>
                <w:sz w:val="24"/>
                <w:szCs w:val="24"/>
                <w:lang w:val="fr-FR"/>
              </w:rPr>
            </w:pPr>
            <w:r w:rsidRPr="00621BF1">
              <w:rPr>
                <w:rFonts w:cs="Times New Roman"/>
                <w:color w:val="000000"/>
                <w:sz w:val="24"/>
                <w:szCs w:val="24"/>
                <w:lang w:val="fr-FR"/>
              </w:rPr>
              <w:t>Monitoring et contrôle des maladies</w:t>
            </w:r>
          </w:p>
        </w:tc>
        <w:tc>
          <w:tcPr>
            <w:tcW w:w="2259" w:type="dxa"/>
            <w:vAlign w:val="bottom"/>
          </w:tcPr>
          <w:p w:rsidR="00621BF1" w:rsidRPr="00621BF1" w:rsidRDefault="00AE07FF" w:rsidP="00621BF1">
            <w:pPr>
              <w:autoSpaceDE w:val="0"/>
              <w:autoSpaceDN w:val="0"/>
              <w:adjustRightInd w:val="0"/>
              <w:spacing w:line="240" w:lineRule="auto"/>
              <w:jc w:val="right"/>
              <w:rPr>
                <w:rFonts w:cs="Times New Roman"/>
                <w:color w:val="000000"/>
                <w:sz w:val="24"/>
                <w:szCs w:val="24"/>
              </w:rPr>
            </w:pPr>
            <w:r w:rsidRPr="00A718E5">
              <w:rPr>
                <w:rFonts w:ascii="Times New Roman" w:eastAsia="Times New Roman" w:hAnsi="Times New Roman" w:cs="Times New Roman"/>
                <w:color w:val="000000"/>
                <w:sz w:val="24"/>
                <w:szCs w:val="24"/>
                <w:lang w:val="fr-FR"/>
              </w:rPr>
              <w:t xml:space="preserve">       </w:t>
            </w:r>
            <w:r w:rsidRPr="00545CD3">
              <w:rPr>
                <w:rFonts w:ascii="Times New Roman" w:eastAsia="Times New Roman" w:hAnsi="Times New Roman" w:cs="Times New Roman"/>
                <w:color w:val="000000"/>
                <w:sz w:val="24"/>
                <w:szCs w:val="24"/>
              </w:rPr>
              <w:t xml:space="preserve">546 000   </w:t>
            </w:r>
          </w:p>
        </w:tc>
      </w:tr>
      <w:tr w:rsidR="00621BF1" w:rsidRPr="00621BF1" w:rsidTr="00AA70AB">
        <w:tc>
          <w:tcPr>
            <w:tcW w:w="1052" w:type="dxa"/>
            <w:vAlign w:val="bottom"/>
          </w:tcPr>
          <w:p w:rsidR="00621BF1" w:rsidRPr="00621BF1" w:rsidRDefault="00621BF1" w:rsidP="00621BF1">
            <w:pPr>
              <w:autoSpaceDE w:val="0"/>
              <w:autoSpaceDN w:val="0"/>
              <w:adjustRightInd w:val="0"/>
              <w:spacing w:line="240" w:lineRule="auto"/>
              <w:jc w:val="center"/>
              <w:rPr>
                <w:rFonts w:cs="Times New Roman"/>
                <w:color w:val="000000"/>
                <w:sz w:val="24"/>
                <w:szCs w:val="24"/>
              </w:rPr>
            </w:pPr>
            <w:r w:rsidRPr="00621BF1">
              <w:rPr>
                <w:rFonts w:cs="Times New Roman"/>
                <w:color w:val="000000"/>
                <w:sz w:val="24"/>
                <w:szCs w:val="24"/>
              </w:rPr>
              <w:t>5</w:t>
            </w:r>
          </w:p>
        </w:tc>
        <w:tc>
          <w:tcPr>
            <w:tcW w:w="6323" w:type="dxa"/>
          </w:tcPr>
          <w:p w:rsidR="00621BF1" w:rsidRPr="00621BF1" w:rsidRDefault="00621BF1" w:rsidP="00621BF1">
            <w:pPr>
              <w:autoSpaceDE w:val="0"/>
              <w:autoSpaceDN w:val="0"/>
              <w:adjustRightInd w:val="0"/>
              <w:spacing w:line="240" w:lineRule="auto"/>
              <w:jc w:val="both"/>
              <w:rPr>
                <w:rFonts w:cs="Times New Roman"/>
                <w:color w:val="000000"/>
                <w:sz w:val="24"/>
                <w:szCs w:val="24"/>
              </w:rPr>
            </w:pPr>
            <w:proofErr w:type="spellStart"/>
            <w:r w:rsidRPr="00621BF1">
              <w:rPr>
                <w:rFonts w:cs="Times New Roman"/>
                <w:color w:val="000000"/>
                <w:sz w:val="24"/>
                <w:szCs w:val="24"/>
              </w:rPr>
              <w:t>Gestion</w:t>
            </w:r>
            <w:proofErr w:type="spellEnd"/>
            <w:r w:rsidRPr="00621BF1">
              <w:rPr>
                <w:rFonts w:cs="Times New Roman"/>
                <w:color w:val="000000"/>
                <w:sz w:val="24"/>
                <w:szCs w:val="24"/>
              </w:rPr>
              <w:t xml:space="preserve"> du </w:t>
            </w:r>
            <w:proofErr w:type="spellStart"/>
            <w:r w:rsidRPr="00621BF1">
              <w:rPr>
                <w:rFonts w:cs="Times New Roman"/>
                <w:color w:val="000000"/>
                <w:sz w:val="24"/>
                <w:szCs w:val="24"/>
              </w:rPr>
              <w:t>programme</w:t>
            </w:r>
            <w:proofErr w:type="spellEnd"/>
          </w:p>
        </w:tc>
        <w:tc>
          <w:tcPr>
            <w:tcW w:w="2259" w:type="dxa"/>
            <w:vAlign w:val="bottom"/>
          </w:tcPr>
          <w:p w:rsidR="00621BF1" w:rsidRPr="00621BF1" w:rsidRDefault="00621BF1" w:rsidP="00621BF1">
            <w:pPr>
              <w:autoSpaceDE w:val="0"/>
              <w:autoSpaceDN w:val="0"/>
              <w:adjustRightInd w:val="0"/>
              <w:spacing w:line="240" w:lineRule="auto"/>
              <w:jc w:val="right"/>
              <w:rPr>
                <w:rFonts w:cs="Times New Roman"/>
                <w:color w:val="000000"/>
                <w:sz w:val="24"/>
                <w:szCs w:val="24"/>
              </w:rPr>
            </w:pPr>
            <w:r w:rsidRPr="00621BF1">
              <w:rPr>
                <w:rFonts w:cs="Times New Roman"/>
                <w:color w:val="000000"/>
                <w:sz w:val="24"/>
                <w:szCs w:val="24"/>
              </w:rPr>
              <w:t>223 500</w:t>
            </w:r>
          </w:p>
        </w:tc>
      </w:tr>
      <w:tr w:rsidR="00621BF1" w:rsidRPr="00621BF1" w:rsidTr="00AA70AB">
        <w:tc>
          <w:tcPr>
            <w:tcW w:w="1052" w:type="dxa"/>
            <w:vAlign w:val="bottom"/>
          </w:tcPr>
          <w:p w:rsidR="00621BF1" w:rsidRPr="00621BF1" w:rsidRDefault="00621BF1" w:rsidP="00621BF1">
            <w:pPr>
              <w:autoSpaceDE w:val="0"/>
              <w:autoSpaceDN w:val="0"/>
              <w:adjustRightInd w:val="0"/>
              <w:spacing w:line="240" w:lineRule="auto"/>
              <w:jc w:val="center"/>
              <w:rPr>
                <w:rFonts w:cs="Times New Roman"/>
                <w:color w:val="000000"/>
                <w:sz w:val="24"/>
                <w:szCs w:val="24"/>
              </w:rPr>
            </w:pPr>
            <w:r w:rsidRPr="00621BF1">
              <w:rPr>
                <w:rFonts w:cs="Times New Roman"/>
                <w:color w:val="000000"/>
                <w:sz w:val="24"/>
                <w:szCs w:val="24"/>
              </w:rPr>
              <w:t>6</w:t>
            </w:r>
          </w:p>
        </w:tc>
        <w:tc>
          <w:tcPr>
            <w:tcW w:w="6323" w:type="dxa"/>
          </w:tcPr>
          <w:p w:rsidR="00621BF1" w:rsidRPr="00621BF1" w:rsidRDefault="00621BF1" w:rsidP="00621BF1">
            <w:pPr>
              <w:autoSpaceDE w:val="0"/>
              <w:autoSpaceDN w:val="0"/>
              <w:adjustRightInd w:val="0"/>
              <w:spacing w:line="240" w:lineRule="auto"/>
              <w:jc w:val="both"/>
              <w:rPr>
                <w:rFonts w:cs="Times New Roman"/>
                <w:color w:val="000000"/>
                <w:sz w:val="24"/>
                <w:szCs w:val="24"/>
              </w:rPr>
            </w:pPr>
            <w:proofErr w:type="spellStart"/>
            <w:r w:rsidRPr="00621BF1">
              <w:rPr>
                <w:rFonts w:cs="Times New Roman"/>
                <w:color w:val="000000"/>
                <w:sz w:val="24"/>
                <w:szCs w:val="24"/>
              </w:rPr>
              <w:t>Activités</w:t>
            </w:r>
            <w:proofErr w:type="spellEnd"/>
            <w:r w:rsidRPr="00621BF1">
              <w:rPr>
                <w:rFonts w:cs="Times New Roman"/>
                <w:color w:val="000000"/>
                <w:sz w:val="24"/>
                <w:szCs w:val="24"/>
              </w:rPr>
              <w:t xml:space="preserve"> de vaccination </w:t>
            </w:r>
            <w:proofErr w:type="spellStart"/>
            <w:r w:rsidRPr="00621BF1">
              <w:rPr>
                <w:rFonts w:cs="Times New Roman"/>
                <w:color w:val="000000"/>
                <w:sz w:val="24"/>
                <w:szCs w:val="24"/>
              </w:rPr>
              <w:t>supplémentaires</w:t>
            </w:r>
            <w:proofErr w:type="spellEnd"/>
            <w:r w:rsidRPr="00621BF1">
              <w:rPr>
                <w:rFonts w:cs="Times New Roman"/>
                <w:color w:val="000000"/>
                <w:sz w:val="24"/>
                <w:szCs w:val="24"/>
              </w:rPr>
              <w:t xml:space="preserve"> </w:t>
            </w:r>
          </w:p>
        </w:tc>
        <w:tc>
          <w:tcPr>
            <w:tcW w:w="2259" w:type="dxa"/>
            <w:vAlign w:val="bottom"/>
          </w:tcPr>
          <w:p w:rsidR="00621BF1" w:rsidRPr="00621BF1" w:rsidRDefault="004B4D08" w:rsidP="00621BF1">
            <w:pPr>
              <w:autoSpaceDE w:val="0"/>
              <w:autoSpaceDN w:val="0"/>
              <w:adjustRightInd w:val="0"/>
              <w:spacing w:line="240" w:lineRule="auto"/>
              <w:jc w:val="right"/>
              <w:rPr>
                <w:rFonts w:cs="Times New Roman"/>
                <w:color w:val="000000"/>
                <w:sz w:val="24"/>
                <w:szCs w:val="24"/>
              </w:rPr>
            </w:pPr>
            <w:r w:rsidRPr="00545CD3">
              <w:rPr>
                <w:rFonts w:ascii="Times New Roman" w:eastAsia="Times New Roman" w:hAnsi="Times New Roman" w:cs="Times New Roman"/>
                <w:color w:val="000000"/>
                <w:sz w:val="24"/>
                <w:szCs w:val="24"/>
              </w:rPr>
              <w:t xml:space="preserve">    2 843 952   </w:t>
            </w:r>
          </w:p>
        </w:tc>
      </w:tr>
      <w:tr w:rsidR="00621BF1" w:rsidRPr="00621BF1" w:rsidTr="00AA70AB">
        <w:tc>
          <w:tcPr>
            <w:tcW w:w="1052" w:type="dxa"/>
            <w:vAlign w:val="bottom"/>
          </w:tcPr>
          <w:p w:rsidR="00621BF1" w:rsidRPr="00621BF1" w:rsidRDefault="00621BF1" w:rsidP="00621BF1">
            <w:pPr>
              <w:autoSpaceDE w:val="0"/>
              <w:autoSpaceDN w:val="0"/>
              <w:adjustRightInd w:val="0"/>
              <w:spacing w:line="240" w:lineRule="auto"/>
              <w:jc w:val="center"/>
              <w:rPr>
                <w:rFonts w:cs="Times New Roman"/>
                <w:color w:val="000000"/>
                <w:sz w:val="24"/>
                <w:szCs w:val="24"/>
              </w:rPr>
            </w:pPr>
            <w:r w:rsidRPr="00621BF1">
              <w:rPr>
                <w:rFonts w:cs="Times New Roman"/>
                <w:color w:val="000000"/>
                <w:sz w:val="24"/>
                <w:szCs w:val="24"/>
              </w:rPr>
              <w:t>7</w:t>
            </w:r>
          </w:p>
        </w:tc>
        <w:tc>
          <w:tcPr>
            <w:tcW w:w="6323" w:type="dxa"/>
          </w:tcPr>
          <w:p w:rsidR="00621BF1" w:rsidRPr="00621BF1" w:rsidRDefault="00621BF1" w:rsidP="00621BF1">
            <w:pPr>
              <w:autoSpaceDE w:val="0"/>
              <w:autoSpaceDN w:val="0"/>
              <w:adjustRightInd w:val="0"/>
              <w:spacing w:line="240" w:lineRule="auto"/>
              <w:jc w:val="both"/>
              <w:rPr>
                <w:rFonts w:cs="Times New Roman"/>
                <w:color w:val="000000"/>
                <w:sz w:val="24"/>
                <w:szCs w:val="24"/>
                <w:lang w:val="fr-FR"/>
              </w:rPr>
            </w:pPr>
            <w:r w:rsidRPr="00621BF1">
              <w:rPr>
                <w:rFonts w:cs="Times New Roman"/>
                <w:color w:val="000000"/>
                <w:sz w:val="24"/>
                <w:szCs w:val="24"/>
                <w:lang w:val="fr-FR"/>
              </w:rPr>
              <w:t>Coûts partagés du système de santé</w:t>
            </w:r>
          </w:p>
        </w:tc>
        <w:tc>
          <w:tcPr>
            <w:tcW w:w="2259" w:type="dxa"/>
            <w:vAlign w:val="bottom"/>
          </w:tcPr>
          <w:p w:rsidR="00621BF1" w:rsidRPr="00621BF1" w:rsidRDefault="004B4D08" w:rsidP="00621BF1">
            <w:pPr>
              <w:autoSpaceDE w:val="0"/>
              <w:autoSpaceDN w:val="0"/>
              <w:adjustRightInd w:val="0"/>
              <w:spacing w:line="240" w:lineRule="auto"/>
              <w:jc w:val="right"/>
              <w:rPr>
                <w:rFonts w:cs="Times New Roman"/>
                <w:color w:val="000000"/>
                <w:sz w:val="24"/>
                <w:szCs w:val="24"/>
              </w:rPr>
            </w:pPr>
            <w:r w:rsidRPr="00545CD3">
              <w:rPr>
                <w:rFonts w:ascii="Times New Roman" w:eastAsia="Times New Roman" w:hAnsi="Times New Roman" w:cs="Times New Roman"/>
                <w:color w:val="000000"/>
                <w:sz w:val="24"/>
                <w:szCs w:val="24"/>
              </w:rPr>
              <w:t>1 498 945</w:t>
            </w:r>
          </w:p>
        </w:tc>
      </w:tr>
      <w:tr w:rsidR="00621BF1" w:rsidRPr="00621BF1" w:rsidTr="00AA70AB">
        <w:tc>
          <w:tcPr>
            <w:tcW w:w="1052" w:type="dxa"/>
          </w:tcPr>
          <w:p w:rsidR="00621BF1" w:rsidRPr="00621BF1" w:rsidRDefault="00621BF1" w:rsidP="00621BF1">
            <w:pPr>
              <w:autoSpaceDE w:val="0"/>
              <w:autoSpaceDN w:val="0"/>
              <w:adjustRightInd w:val="0"/>
              <w:spacing w:line="240" w:lineRule="auto"/>
              <w:jc w:val="center"/>
              <w:rPr>
                <w:rFonts w:cs="Times New Roman"/>
                <w:b/>
                <w:color w:val="000000"/>
                <w:sz w:val="24"/>
                <w:szCs w:val="24"/>
              </w:rPr>
            </w:pPr>
            <w:r w:rsidRPr="00621BF1">
              <w:rPr>
                <w:rFonts w:cs="Times New Roman"/>
                <w:b/>
                <w:color w:val="000000"/>
                <w:sz w:val="24"/>
                <w:szCs w:val="24"/>
              </w:rPr>
              <w:t>8</w:t>
            </w:r>
          </w:p>
        </w:tc>
        <w:tc>
          <w:tcPr>
            <w:tcW w:w="6323" w:type="dxa"/>
          </w:tcPr>
          <w:p w:rsidR="00621BF1" w:rsidRPr="00621BF1" w:rsidRDefault="00621BF1" w:rsidP="00621BF1">
            <w:pPr>
              <w:autoSpaceDE w:val="0"/>
              <w:autoSpaceDN w:val="0"/>
              <w:adjustRightInd w:val="0"/>
              <w:spacing w:line="240" w:lineRule="auto"/>
              <w:jc w:val="both"/>
              <w:rPr>
                <w:rFonts w:cs="Times New Roman"/>
                <w:b/>
                <w:color w:val="000000"/>
                <w:sz w:val="24"/>
                <w:szCs w:val="24"/>
              </w:rPr>
            </w:pPr>
            <w:r w:rsidRPr="00621BF1">
              <w:rPr>
                <w:rFonts w:cs="Times New Roman"/>
                <w:b/>
                <w:color w:val="000000"/>
                <w:sz w:val="24"/>
                <w:szCs w:val="24"/>
              </w:rPr>
              <w:t>Total</w:t>
            </w:r>
          </w:p>
        </w:tc>
        <w:tc>
          <w:tcPr>
            <w:tcW w:w="2259" w:type="dxa"/>
            <w:vAlign w:val="bottom"/>
          </w:tcPr>
          <w:p w:rsidR="00621BF1" w:rsidRPr="00621BF1" w:rsidRDefault="004B4D08" w:rsidP="00621BF1">
            <w:pPr>
              <w:autoSpaceDE w:val="0"/>
              <w:autoSpaceDN w:val="0"/>
              <w:adjustRightInd w:val="0"/>
              <w:spacing w:line="240" w:lineRule="auto"/>
              <w:jc w:val="right"/>
              <w:rPr>
                <w:rFonts w:cs="Times New Roman"/>
                <w:b/>
                <w:color w:val="000000"/>
                <w:sz w:val="24"/>
                <w:szCs w:val="24"/>
              </w:rPr>
            </w:pPr>
            <w:r w:rsidRPr="00545CD3">
              <w:rPr>
                <w:rFonts w:ascii="Times New Roman" w:eastAsia="Times New Roman" w:hAnsi="Times New Roman" w:cs="Times New Roman"/>
                <w:b/>
                <w:bCs/>
                <w:color w:val="000000"/>
                <w:sz w:val="24"/>
                <w:szCs w:val="24"/>
              </w:rPr>
              <w:t>9 416 056</w:t>
            </w:r>
          </w:p>
        </w:tc>
      </w:tr>
    </w:tbl>
    <w:p w:rsidR="00621BF1" w:rsidRPr="00621BF1" w:rsidRDefault="00621BF1" w:rsidP="00621BF1">
      <w:pPr>
        <w:autoSpaceDE w:val="0"/>
        <w:autoSpaceDN w:val="0"/>
        <w:adjustRightInd w:val="0"/>
        <w:spacing w:before="240" w:line="240" w:lineRule="auto"/>
        <w:jc w:val="both"/>
        <w:rPr>
          <w:rFonts w:cs="Times New Roman"/>
          <w:bCs/>
          <w:color w:val="000000"/>
          <w:sz w:val="24"/>
          <w:szCs w:val="24"/>
        </w:rPr>
      </w:pPr>
      <w:r w:rsidRPr="00621BF1">
        <w:rPr>
          <w:rFonts w:cs="Times New Roman"/>
          <w:bCs/>
          <w:color w:val="000000"/>
          <w:sz w:val="24"/>
          <w:szCs w:val="24"/>
        </w:rPr>
        <w:t>Au terme de l’année 2015 et comme le montre le tableau suivant au titre des indicateurs de base, la vaccination systématique a coûté 0,4</w:t>
      </w:r>
      <w:r w:rsidR="009F13F4">
        <w:rPr>
          <w:rFonts w:cs="Times New Roman"/>
          <w:bCs/>
          <w:color w:val="000000"/>
          <w:sz w:val="24"/>
          <w:szCs w:val="24"/>
        </w:rPr>
        <w:t>8</w:t>
      </w:r>
      <w:r w:rsidRPr="00621BF1">
        <w:rPr>
          <w:rFonts w:cs="Times New Roman"/>
          <w:bCs/>
          <w:color w:val="000000"/>
          <w:sz w:val="24"/>
          <w:szCs w:val="24"/>
        </w:rPr>
        <w:t xml:space="preserve"> US par habitant (0,1% du PIB et 1,</w:t>
      </w:r>
      <w:r w:rsidR="009F13F4">
        <w:rPr>
          <w:rFonts w:cs="Times New Roman"/>
          <w:bCs/>
          <w:color w:val="000000"/>
          <w:sz w:val="24"/>
          <w:szCs w:val="24"/>
        </w:rPr>
        <w:t>8</w:t>
      </w:r>
      <w:r w:rsidRPr="00621BF1">
        <w:rPr>
          <w:rFonts w:cs="Times New Roman"/>
          <w:bCs/>
          <w:color w:val="000000"/>
          <w:sz w:val="24"/>
          <w:szCs w:val="24"/>
        </w:rPr>
        <w:t xml:space="preserve">% des </w:t>
      </w:r>
      <w:r w:rsidRPr="00621BF1">
        <w:rPr>
          <w:rFonts w:cs="Times New Roman"/>
          <w:bCs/>
          <w:color w:val="000000"/>
          <w:sz w:val="24"/>
          <w:szCs w:val="24"/>
        </w:rPr>
        <w:lastRenderedPageBreak/>
        <w:t xml:space="preserve">dépenses totales). Le coût par enfant vacciné au DTC qui est d’ailleurs combiné aux vaccins Hep et </w:t>
      </w:r>
      <w:proofErr w:type="spellStart"/>
      <w:r w:rsidRPr="00621BF1">
        <w:rPr>
          <w:rFonts w:cs="Times New Roman"/>
          <w:bCs/>
          <w:color w:val="000000"/>
          <w:sz w:val="24"/>
          <w:szCs w:val="24"/>
        </w:rPr>
        <w:t>Hib</w:t>
      </w:r>
      <w:proofErr w:type="spellEnd"/>
      <w:r w:rsidRPr="00621BF1">
        <w:rPr>
          <w:rFonts w:cs="Times New Roman"/>
          <w:bCs/>
          <w:color w:val="000000"/>
          <w:sz w:val="24"/>
          <w:szCs w:val="24"/>
        </w:rPr>
        <w:t xml:space="preserve"> est de 2</w:t>
      </w:r>
      <w:r w:rsidR="009F13F4">
        <w:rPr>
          <w:rFonts w:cs="Times New Roman"/>
          <w:bCs/>
          <w:color w:val="000000"/>
          <w:sz w:val="24"/>
          <w:szCs w:val="24"/>
        </w:rPr>
        <w:t>7</w:t>
      </w:r>
      <w:r w:rsidRPr="00621BF1">
        <w:rPr>
          <w:rFonts w:cs="Times New Roman"/>
          <w:bCs/>
          <w:color w:val="000000"/>
          <w:sz w:val="24"/>
          <w:szCs w:val="24"/>
        </w:rPr>
        <w:t xml:space="preserve"> US. </w:t>
      </w:r>
    </w:p>
    <w:p w:rsidR="00851C39" w:rsidRPr="005F09AA" w:rsidRDefault="00621BF1" w:rsidP="00851C39">
      <w:pPr>
        <w:autoSpaceDE w:val="0"/>
        <w:autoSpaceDN w:val="0"/>
        <w:adjustRightInd w:val="0"/>
        <w:spacing w:before="240" w:line="240" w:lineRule="auto"/>
        <w:jc w:val="both"/>
        <w:rPr>
          <w:rFonts w:ascii="Times New Roman" w:hAnsi="Times New Roman" w:cs="Times New Roman"/>
          <w:b/>
          <w:bCs/>
          <w:color w:val="000000"/>
          <w:sz w:val="24"/>
          <w:szCs w:val="24"/>
        </w:rPr>
      </w:pPr>
      <w:r w:rsidRPr="00621BF1">
        <w:rPr>
          <w:rFonts w:cs="Times New Roman"/>
          <w:bCs/>
          <w:color w:val="000000"/>
          <w:sz w:val="24"/>
          <w:szCs w:val="24"/>
        </w:rPr>
        <w:t xml:space="preserve">Par ailleurs, on peut constater que les dépenses totales de vaccination se chiffrent à </w:t>
      </w:r>
      <w:r w:rsidR="009F13F4">
        <w:rPr>
          <w:rFonts w:ascii="Times New Roman" w:eastAsia="Times New Roman" w:hAnsi="Times New Roman" w:cs="Times New Roman"/>
          <w:bCs/>
          <w:color w:val="000000"/>
          <w:sz w:val="24"/>
          <w:szCs w:val="24"/>
          <w:lang w:eastAsia="fr-FR"/>
        </w:rPr>
        <w:t>7</w:t>
      </w:r>
      <w:r w:rsidR="009F13F4" w:rsidRPr="006757D3">
        <w:rPr>
          <w:rFonts w:ascii="Times New Roman" w:eastAsia="Times New Roman" w:hAnsi="Times New Roman" w:cs="Times New Roman"/>
          <w:bCs/>
          <w:color w:val="000000"/>
          <w:sz w:val="24"/>
          <w:szCs w:val="24"/>
          <w:lang w:eastAsia="fr-FR"/>
        </w:rPr>
        <w:t>.</w:t>
      </w:r>
      <w:r w:rsidR="009F13F4">
        <w:rPr>
          <w:rFonts w:ascii="Times New Roman" w:eastAsia="Times New Roman" w:hAnsi="Times New Roman" w:cs="Times New Roman"/>
          <w:bCs/>
          <w:color w:val="000000"/>
          <w:sz w:val="24"/>
          <w:szCs w:val="24"/>
          <w:lang w:eastAsia="fr-FR"/>
        </w:rPr>
        <w:t>917</w:t>
      </w:r>
      <w:r w:rsidR="009F13F4" w:rsidRPr="006757D3">
        <w:rPr>
          <w:rFonts w:ascii="Times New Roman" w:eastAsia="Times New Roman" w:hAnsi="Times New Roman" w:cs="Times New Roman"/>
          <w:bCs/>
          <w:color w:val="000000"/>
          <w:sz w:val="24"/>
          <w:szCs w:val="24"/>
          <w:lang w:eastAsia="fr-FR"/>
        </w:rPr>
        <w:t>.</w:t>
      </w:r>
      <w:r w:rsidR="009F13F4">
        <w:rPr>
          <w:rFonts w:ascii="Times New Roman" w:eastAsia="Times New Roman" w:hAnsi="Times New Roman" w:cs="Times New Roman"/>
          <w:bCs/>
          <w:color w:val="000000"/>
          <w:sz w:val="24"/>
          <w:szCs w:val="24"/>
          <w:lang w:eastAsia="fr-FR"/>
        </w:rPr>
        <w:t>111</w:t>
      </w:r>
      <w:r w:rsidR="009F13F4" w:rsidRPr="006757D3">
        <w:rPr>
          <w:rFonts w:ascii="Times New Roman" w:eastAsia="Times New Roman" w:hAnsi="Times New Roman" w:cs="Times New Roman"/>
          <w:bCs/>
          <w:color w:val="000000"/>
          <w:sz w:val="24"/>
          <w:szCs w:val="24"/>
          <w:lang w:eastAsia="fr-FR"/>
        </w:rPr>
        <w:t xml:space="preserve"> </w:t>
      </w:r>
      <w:r w:rsidRPr="00621BF1">
        <w:rPr>
          <w:rFonts w:cs="Times New Roman"/>
          <w:bCs/>
          <w:color w:val="000000"/>
          <w:sz w:val="24"/>
          <w:szCs w:val="24"/>
        </w:rPr>
        <w:t xml:space="preserve"> US dont 5.07</w:t>
      </w:r>
      <w:r w:rsidR="00851C39">
        <w:rPr>
          <w:rFonts w:cs="Times New Roman"/>
          <w:bCs/>
          <w:color w:val="000000"/>
          <w:sz w:val="24"/>
          <w:szCs w:val="24"/>
        </w:rPr>
        <w:t>3</w:t>
      </w:r>
      <w:r w:rsidRPr="00621BF1">
        <w:rPr>
          <w:rFonts w:cs="Times New Roman"/>
          <w:bCs/>
          <w:color w:val="000000"/>
          <w:sz w:val="24"/>
          <w:szCs w:val="24"/>
        </w:rPr>
        <w:t>.</w:t>
      </w:r>
      <w:r w:rsidR="00851C39">
        <w:rPr>
          <w:rFonts w:cs="Times New Roman"/>
          <w:bCs/>
          <w:color w:val="000000"/>
          <w:sz w:val="24"/>
          <w:szCs w:val="24"/>
        </w:rPr>
        <w:t>159</w:t>
      </w:r>
      <w:r w:rsidRPr="00621BF1">
        <w:rPr>
          <w:rFonts w:cs="Times New Roman"/>
          <w:bCs/>
          <w:color w:val="000000"/>
          <w:sz w:val="24"/>
          <w:szCs w:val="24"/>
        </w:rPr>
        <w:t xml:space="preserve"> US pour la vaccination systématique uniquement et </w:t>
      </w:r>
      <w:r w:rsidR="00851C39" w:rsidRPr="00E51268">
        <w:rPr>
          <w:rFonts w:eastAsia="Times New Roman" w:cs="Times New Roman"/>
          <w:color w:val="000000"/>
        </w:rPr>
        <w:t>$2 843</w:t>
      </w:r>
      <w:r w:rsidR="00851C39">
        <w:rPr>
          <w:rFonts w:eastAsia="Times New Roman" w:cs="Times New Roman"/>
          <w:color w:val="000000"/>
        </w:rPr>
        <w:t> </w:t>
      </w:r>
      <w:r w:rsidR="00851C39" w:rsidRPr="00E51268">
        <w:rPr>
          <w:rFonts w:eastAsia="Times New Roman" w:cs="Times New Roman"/>
          <w:color w:val="000000"/>
        </w:rPr>
        <w:t xml:space="preserve">952 </w:t>
      </w:r>
      <w:r w:rsidRPr="00621BF1">
        <w:rPr>
          <w:rFonts w:cs="Times New Roman"/>
          <w:bCs/>
          <w:color w:val="000000"/>
          <w:sz w:val="24"/>
          <w:szCs w:val="24"/>
        </w:rPr>
        <w:t xml:space="preserve"> pour les activités de vaccination supplémentaires représentant respectivement </w:t>
      </w:r>
      <w:r w:rsidR="006D4800">
        <w:rPr>
          <w:rFonts w:cs="Times New Roman"/>
          <w:bCs/>
          <w:color w:val="000000"/>
          <w:sz w:val="24"/>
          <w:szCs w:val="24"/>
        </w:rPr>
        <w:t>54</w:t>
      </w:r>
      <w:r w:rsidRPr="00621BF1">
        <w:rPr>
          <w:rFonts w:cs="Times New Roman"/>
          <w:bCs/>
          <w:color w:val="000000"/>
          <w:sz w:val="24"/>
          <w:szCs w:val="24"/>
        </w:rPr>
        <w:t xml:space="preserve">% et </w:t>
      </w:r>
      <w:r w:rsidR="006D4800">
        <w:rPr>
          <w:rFonts w:cs="Times New Roman"/>
          <w:bCs/>
          <w:color w:val="000000"/>
          <w:sz w:val="24"/>
          <w:szCs w:val="24"/>
        </w:rPr>
        <w:t>30</w:t>
      </w:r>
      <w:r w:rsidRPr="00621BF1">
        <w:rPr>
          <w:rFonts w:cs="Times New Roman"/>
          <w:bCs/>
          <w:color w:val="000000"/>
          <w:sz w:val="24"/>
          <w:szCs w:val="24"/>
        </w:rPr>
        <w:t>% du coût de base 2015. On peut y noter également que la part des coûts partagés est de</w:t>
      </w:r>
      <w:r w:rsidR="00851C39">
        <w:rPr>
          <w:rFonts w:cs="Times New Roman"/>
          <w:bCs/>
          <w:color w:val="000000"/>
          <w:sz w:val="24"/>
          <w:szCs w:val="24"/>
        </w:rPr>
        <w:t xml:space="preserve"> </w:t>
      </w:r>
      <w:r w:rsidR="00851C39" w:rsidRPr="006757D3">
        <w:rPr>
          <w:rFonts w:ascii="Times New Roman" w:hAnsi="Times New Roman" w:cs="Times New Roman"/>
          <w:bCs/>
          <w:color w:val="000000"/>
          <w:sz w:val="24"/>
          <w:szCs w:val="24"/>
        </w:rPr>
        <w:t>1.</w:t>
      </w:r>
      <w:r w:rsidR="00851C39">
        <w:rPr>
          <w:rFonts w:ascii="Times New Roman" w:hAnsi="Times New Roman" w:cs="Times New Roman"/>
          <w:bCs/>
          <w:color w:val="000000"/>
          <w:sz w:val="24"/>
          <w:szCs w:val="24"/>
        </w:rPr>
        <w:t>498</w:t>
      </w:r>
      <w:r w:rsidR="00851C39" w:rsidRPr="006757D3">
        <w:rPr>
          <w:rFonts w:ascii="Times New Roman" w:hAnsi="Times New Roman" w:cs="Times New Roman"/>
          <w:bCs/>
          <w:color w:val="000000"/>
          <w:sz w:val="24"/>
          <w:szCs w:val="24"/>
        </w:rPr>
        <w:t>.9</w:t>
      </w:r>
      <w:r w:rsidR="00851C39">
        <w:rPr>
          <w:rFonts w:ascii="Times New Roman" w:hAnsi="Times New Roman" w:cs="Times New Roman"/>
          <w:bCs/>
          <w:color w:val="000000"/>
          <w:sz w:val="24"/>
          <w:szCs w:val="24"/>
        </w:rPr>
        <w:t>45</w:t>
      </w:r>
      <w:r w:rsidR="00851C39" w:rsidRPr="006757D3">
        <w:rPr>
          <w:rFonts w:ascii="Times New Roman" w:hAnsi="Times New Roman" w:cs="Times New Roman"/>
          <w:bCs/>
          <w:color w:val="000000"/>
          <w:sz w:val="24"/>
          <w:szCs w:val="24"/>
        </w:rPr>
        <w:t xml:space="preserve"> USD, soit 16%.</w:t>
      </w:r>
    </w:p>
    <w:p w:rsidR="00621BF1" w:rsidRPr="00621BF1" w:rsidRDefault="00621BF1" w:rsidP="00045224">
      <w:pPr>
        <w:autoSpaceDE w:val="0"/>
        <w:autoSpaceDN w:val="0"/>
        <w:adjustRightInd w:val="0"/>
        <w:spacing w:before="240" w:line="240" w:lineRule="auto"/>
        <w:jc w:val="both"/>
        <w:rPr>
          <w:rFonts w:cs="Times New Roman"/>
          <w:bCs/>
          <w:color w:val="000000"/>
          <w:szCs w:val="24"/>
        </w:rPr>
      </w:pPr>
      <w:bookmarkStart w:id="202" w:name="_Toc456109495"/>
      <w:r>
        <w:t xml:space="preserve">Tableau </w:t>
      </w:r>
      <w:r w:rsidR="00B51B2E">
        <w:rPr>
          <w:noProof/>
        </w:rPr>
        <w:fldChar w:fldCharType="begin"/>
      </w:r>
      <w:r w:rsidR="00685281">
        <w:rPr>
          <w:noProof/>
        </w:rPr>
        <w:instrText xml:space="preserve"> SEQ Tableau \* ARABIC </w:instrText>
      </w:r>
      <w:r w:rsidR="00B51B2E">
        <w:rPr>
          <w:noProof/>
        </w:rPr>
        <w:fldChar w:fldCharType="separate"/>
      </w:r>
      <w:r w:rsidR="00DC4EEF">
        <w:rPr>
          <w:noProof/>
        </w:rPr>
        <w:t>29</w:t>
      </w:r>
      <w:r w:rsidR="00B51B2E">
        <w:rPr>
          <w:noProof/>
        </w:rPr>
        <w:fldChar w:fldCharType="end"/>
      </w:r>
      <w:r>
        <w:t xml:space="preserve">: </w:t>
      </w:r>
      <w:r w:rsidRPr="00E44127">
        <w:t>Indicateur</w:t>
      </w:r>
      <w:r>
        <w:t>s</w:t>
      </w:r>
      <w:r w:rsidRPr="00E44127">
        <w:t xml:space="preserve"> de base</w:t>
      </w:r>
      <w:bookmarkEnd w:id="202"/>
    </w:p>
    <w:tbl>
      <w:tblPr>
        <w:tblW w:w="7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2960"/>
      </w:tblGrid>
      <w:tr w:rsidR="00621BF1" w:rsidRPr="00621BF1" w:rsidTr="00AA70AB">
        <w:trPr>
          <w:trHeight w:val="675"/>
        </w:trPr>
        <w:tc>
          <w:tcPr>
            <w:tcW w:w="4520" w:type="dxa"/>
            <w:shd w:val="clear" w:color="000000" w:fill="C65911"/>
            <w:vAlign w:val="center"/>
            <w:hideMark/>
          </w:tcPr>
          <w:p w:rsidR="00621BF1" w:rsidRPr="00621BF1" w:rsidRDefault="00621BF1" w:rsidP="00621BF1">
            <w:pPr>
              <w:spacing w:after="0" w:line="240" w:lineRule="auto"/>
              <w:rPr>
                <w:rFonts w:eastAsia="Times New Roman" w:cs="Times New Roman"/>
                <w:b/>
                <w:bCs/>
                <w:color w:val="FFFFFF"/>
                <w:sz w:val="24"/>
                <w:szCs w:val="24"/>
                <w:lang w:val="en-US"/>
              </w:rPr>
            </w:pPr>
            <w:r w:rsidRPr="00621BF1">
              <w:rPr>
                <w:rFonts w:eastAsia="Times New Roman" w:cs="Times New Roman"/>
                <w:b/>
                <w:bCs/>
                <w:color w:val="FFFFFF"/>
                <w:sz w:val="24"/>
                <w:szCs w:val="24"/>
              </w:rPr>
              <w:t>Indicateurs de base</w:t>
            </w:r>
          </w:p>
        </w:tc>
        <w:tc>
          <w:tcPr>
            <w:tcW w:w="2960" w:type="dxa"/>
            <w:shd w:val="clear" w:color="000000" w:fill="C65911"/>
            <w:vAlign w:val="center"/>
            <w:hideMark/>
          </w:tcPr>
          <w:p w:rsidR="00621BF1" w:rsidRPr="00621BF1" w:rsidRDefault="00621BF1" w:rsidP="00621BF1">
            <w:pPr>
              <w:spacing w:after="0" w:line="240" w:lineRule="auto"/>
              <w:jc w:val="center"/>
              <w:rPr>
                <w:rFonts w:eastAsia="Times New Roman" w:cs="Times New Roman"/>
                <w:b/>
                <w:bCs/>
                <w:color w:val="FFFFFF"/>
                <w:sz w:val="24"/>
                <w:szCs w:val="24"/>
                <w:lang w:val="en-US"/>
              </w:rPr>
            </w:pPr>
            <w:r w:rsidRPr="00621BF1">
              <w:rPr>
                <w:rFonts w:eastAsia="Times New Roman" w:cs="Times New Roman"/>
                <w:b/>
                <w:bCs/>
                <w:color w:val="FFFFFF"/>
                <w:sz w:val="24"/>
                <w:szCs w:val="24"/>
              </w:rPr>
              <w:t>2015</w:t>
            </w:r>
          </w:p>
        </w:tc>
      </w:tr>
      <w:tr w:rsidR="00621BF1" w:rsidRPr="00621BF1" w:rsidTr="00AA70AB">
        <w:trPr>
          <w:trHeight w:val="705"/>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b/>
                <w:bCs/>
                <w:color w:val="000000"/>
              </w:rPr>
            </w:pPr>
            <w:r w:rsidRPr="00621BF1">
              <w:rPr>
                <w:rFonts w:eastAsia="Times New Roman" w:cs="Times New Roman"/>
                <w:b/>
                <w:bCs/>
                <w:color w:val="000000"/>
              </w:rPr>
              <w:t>Dépenses totales de vaccination spécifiques</w:t>
            </w:r>
          </w:p>
        </w:tc>
        <w:tc>
          <w:tcPr>
            <w:tcW w:w="2960" w:type="dxa"/>
            <w:shd w:val="clear" w:color="000000" w:fill="DCE6F1"/>
            <w:noWrap/>
            <w:vAlign w:val="center"/>
            <w:hideMark/>
          </w:tcPr>
          <w:p w:rsidR="00621BF1" w:rsidRPr="00621BF1" w:rsidRDefault="00E51268" w:rsidP="00621BF1">
            <w:pPr>
              <w:spacing w:after="0" w:line="240" w:lineRule="auto"/>
              <w:jc w:val="right"/>
              <w:rPr>
                <w:rFonts w:eastAsia="Times New Roman" w:cs="Times New Roman"/>
                <w:color w:val="000000"/>
                <w:lang w:val="en-US"/>
              </w:rPr>
            </w:pPr>
            <w:r w:rsidRPr="00E51268">
              <w:rPr>
                <w:rFonts w:eastAsia="Times New Roman" w:cs="Times New Roman"/>
                <w:color w:val="000000"/>
              </w:rPr>
              <w:t>$7 917 111</w:t>
            </w:r>
            <w:r>
              <w:rPr>
                <w:rFonts w:eastAsia="Times New Roman" w:cs="Times New Roman"/>
                <w:color w:val="000000"/>
              </w:rPr>
              <w:t> </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lang w:val="en-US"/>
              </w:rPr>
            </w:pPr>
            <w:r w:rsidRPr="00621BF1">
              <w:rPr>
                <w:rFonts w:eastAsia="Times New Roman" w:cs="Times New Roman"/>
                <w:color w:val="000000"/>
              </w:rPr>
              <w:t>Activités de vaccination supplémentaire</w:t>
            </w:r>
          </w:p>
        </w:tc>
        <w:tc>
          <w:tcPr>
            <w:tcW w:w="2960" w:type="dxa"/>
            <w:shd w:val="clear" w:color="000000" w:fill="DCE6F1"/>
            <w:noWrap/>
            <w:vAlign w:val="center"/>
            <w:hideMark/>
          </w:tcPr>
          <w:p w:rsidR="00621BF1" w:rsidRPr="00621BF1" w:rsidRDefault="00E51268" w:rsidP="00621BF1">
            <w:pPr>
              <w:spacing w:after="0" w:line="240" w:lineRule="auto"/>
              <w:jc w:val="right"/>
              <w:rPr>
                <w:rFonts w:eastAsia="Times New Roman" w:cs="Times New Roman"/>
                <w:color w:val="000000"/>
                <w:lang w:val="en-US"/>
              </w:rPr>
            </w:pPr>
            <w:r w:rsidRPr="00E51268">
              <w:rPr>
                <w:rFonts w:eastAsia="Times New Roman" w:cs="Times New Roman"/>
                <w:color w:val="000000"/>
              </w:rPr>
              <w:t xml:space="preserve">$2 843 952 </w:t>
            </w:r>
            <w:r w:rsidR="00621BF1" w:rsidRPr="00621BF1">
              <w:rPr>
                <w:rFonts w:eastAsia="Times New Roman" w:cs="Times New Roman"/>
                <w:color w:val="000000"/>
              </w:rPr>
              <w:t xml:space="preserve"> </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lang w:val="en-US"/>
              </w:rPr>
            </w:pPr>
            <w:r w:rsidRPr="00621BF1">
              <w:rPr>
                <w:rFonts w:eastAsia="Times New Roman" w:cs="Times New Roman"/>
                <w:color w:val="000000"/>
              </w:rPr>
              <w:t>Vaccination systématique uniquement</w:t>
            </w:r>
          </w:p>
        </w:tc>
        <w:tc>
          <w:tcPr>
            <w:tcW w:w="2960" w:type="dxa"/>
            <w:shd w:val="clear" w:color="000000" w:fill="DCE6F1"/>
            <w:noWrap/>
            <w:vAlign w:val="center"/>
            <w:hideMark/>
          </w:tcPr>
          <w:p w:rsidR="00621BF1" w:rsidRPr="00621BF1" w:rsidRDefault="0045545C" w:rsidP="00621BF1">
            <w:pPr>
              <w:spacing w:after="0" w:line="240" w:lineRule="auto"/>
              <w:jc w:val="right"/>
              <w:rPr>
                <w:rFonts w:eastAsia="Times New Roman" w:cs="Times New Roman"/>
                <w:color w:val="000000"/>
                <w:lang w:val="en-US"/>
              </w:rPr>
            </w:pPr>
            <w:r w:rsidRPr="00E51268">
              <w:rPr>
                <w:rFonts w:eastAsia="Times New Roman" w:cs="Times New Roman"/>
                <w:color w:val="000000"/>
              </w:rPr>
              <w:t>$5 073 159</w:t>
            </w:r>
            <w:r>
              <w:rPr>
                <w:rFonts w:eastAsia="Times New Roman" w:cs="Times New Roman"/>
                <w:color w:val="000000"/>
              </w:rPr>
              <w:t> </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lang w:val="en-US"/>
              </w:rPr>
            </w:pPr>
            <w:r w:rsidRPr="00621BF1">
              <w:rPr>
                <w:rFonts w:eastAsia="Times New Roman" w:cs="Times New Roman"/>
                <w:color w:val="000000"/>
              </w:rPr>
              <w:t>Par habitant</w:t>
            </w:r>
          </w:p>
        </w:tc>
        <w:tc>
          <w:tcPr>
            <w:tcW w:w="2960" w:type="dxa"/>
            <w:shd w:val="clear" w:color="000000" w:fill="DCE6F1"/>
            <w:noWrap/>
            <w:vAlign w:val="center"/>
            <w:hideMark/>
          </w:tcPr>
          <w:p w:rsidR="00621BF1" w:rsidRPr="00621BF1" w:rsidRDefault="00621BF1" w:rsidP="00621BF1">
            <w:pPr>
              <w:spacing w:after="0" w:line="240" w:lineRule="auto"/>
              <w:jc w:val="right"/>
              <w:rPr>
                <w:rFonts w:eastAsia="Times New Roman" w:cs="Times New Roman"/>
                <w:color w:val="000000"/>
                <w:lang w:val="en-US"/>
              </w:rPr>
            </w:pPr>
            <w:r w:rsidRPr="00621BF1">
              <w:rPr>
                <w:rFonts w:eastAsia="Times New Roman" w:cs="Times New Roman"/>
                <w:color w:val="000000"/>
              </w:rPr>
              <w:t>0,4</w:t>
            </w:r>
            <w:r w:rsidR="0045545C">
              <w:rPr>
                <w:rFonts w:eastAsia="Times New Roman" w:cs="Times New Roman"/>
                <w:color w:val="000000"/>
              </w:rPr>
              <w:t>8</w:t>
            </w:r>
            <w:r w:rsidRPr="00621BF1">
              <w:rPr>
                <w:rFonts w:eastAsia="Times New Roman" w:cs="Times New Roman"/>
                <w:color w:val="000000"/>
              </w:rPr>
              <w:t xml:space="preserve"> </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rPr>
            </w:pPr>
            <w:r w:rsidRPr="00621BF1">
              <w:rPr>
                <w:rFonts w:eastAsia="Times New Roman" w:cs="Times New Roman"/>
                <w:color w:val="000000"/>
              </w:rPr>
              <w:t>Par enfant vacciné avec la DTC</w:t>
            </w:r>
          </w:p>
        </w:tc>
        <w:tc>
          <w:tcPr>
            <w:tcW w:w="2960" w:type="dxa"/>
            <w:shd w:val="clear" w:color="000000" w:fill="DCE6F1"/>
            <w:noWrap/>
            <w:vAlign w:val="center"/>
            <w:hideMark/>
          </w:tcPr>
          <w:p w:rsidR="00621BF1" w:rsidRPr="00621BF1" w:rsidRDefault="00621BF1" w:rsidP="00621BF1">
            <w:pPr>
              <w:spacing w:after="0" w:line="240" w:lineRule="auto"/>
              <w:jc w:val="right"/>
              <w:rPr>
                <w:rFonts w:eastAsia="Times New Roman" w:cs="Times New Roman"/>
                <w:color w:val="000000"/>
                <w:lang w:val="en-US"/>
              </w:rPr>
            </w:pPr>
            <w:r w:rsidRPr="00621BF1">
              <w:rPr>
                <w:rFonts w:eastAsia="Times New Roman" w:cs="Times New Roman"/>
                <w:color w:val="000000"/>
              </w:rPr>
              <w:t>2</w:t>
            </w:r>
            <w:r w:rsidR="0045545C">
              <w:rPr>
                <w:rFonts w:eastAsia="Times New Roman" w:cs="Times New Roman"/>
                <w:color w:val="000000"/>
              </w:rPr>
              <w:t>7</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lang w:val="en-US"/>
              </w:rPr>
            </w:pPr>
            <w:r w:rsidRPr="00621BF1">
              <w:rPr>
                <w:rFonts w:eastAsia="Times New Roman" w:cs="Times New Roman"/>
                <w:color w:val="000000"/>
              </w:rPr>
              <w:t xml:space="preserve">% vaccins et matériels </w:t>
            </w:r>
          </w:p>
        </w:tc>
        <w:tc>
          <w:tcPr>
            <w:tcW w:w="2960" w:type="dxa"/>
            <w:shd w:val="clear" w:color="000000" w:fill="DCE6F1"/>
            <w:noWrap/>
            <w:vAlign w:val="center"/>
            <w:hideMark/>
          </w:tcPr>
          <w:p w:rsidR="00621BF1" w:rsidRPr="00621BF1" w:rsidRDefault="0045545C" w:rsidP="00621BF1">
            <w:pPr>
              <w:spacing w:after="0" w:line="240" w:lineRule="auto"/>
              <w:jc w:val="right"/>
              <w:rPr>
                <w:rFonts w:eastAsia="Times New Roman" w:cs="Times New Roman"/>
                <w:color w:val="000000"/>
                <w:lang w:val="en-US"/>
              </w:rPr>
            </w:pPr>
            <w:r w:rsidRPr="00545CD3">
              <w:rPr>
                <w:rFonts w:ascii="Times New Roman" w:eastAsia="Times New Roman" w:hAnsi="Times New Roman" w:cs="Times New Roman"/>
                <w:color w:val="000000"/>
                <w:sz w:val="24"/>
                <w:szCs w:val="24"/>
                <w:lang w:eastAsia="fr-FR"/>
              </w:rPr>
              <w:t>20,4%</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lang w:val="en-US"/>
              </w:rPr>
            </w:pPr>
            <w:r w:rsidRPr="00621BF1">
              <w:rPr>
                <w:rFonts w:eastAsia="Times New Roman" w:cs="Times New Roman"/>
                <w:color w:val="000000"/>
              </w:rPr>
              <w:t>% ressources financières du gouvernement</w:t>
            </w:r>
          </w:p>
        </w:tc>
        <w:tc>
          <w:tcPr>
            <w:tcW w:w="2960" w:type="dxa"/>
            <w:shd w:val="clear" w:color="000000" w:fill="DCE6F1"/>
            <w:noWrap/>
            <w:vAlign w:val="center"/>
            <w:hideMark/>
          </w:tcPr>
          <w:p w:rsidR="00621BF1" w:rsidRPr="00621BF1" w:rsidRDefault="0045545C" w:rsidP="00A1236C">
            <w:pPr>
              <w:spacing w:after="0" w:line="240" w:lineRule="auto"/>
              <w:jc w:val="right"/>
              <w:rPr>
                <w:rFonts w:eastAsia="Times New Roman" w:cs="Times New Roman"/>
                <w:color w:val="000000"/>
                <w:lang w:val="en-US"/>
              </w:rPr>
            </w:pPr>
            <w:r w:rsidRPr="00545CD3">
              <w:rPr>
                <w:rFonts w:ascii="Times New Roman" w:eastAsia="Times New Roman" w:hAnsi="Times New Roman" w:cs="Times New Roman"/>
                <w:color w:val="000000"/>
                <w:sz w:val="24"/>
                <w:szCs w:val="24"/>
                <w:lang w:eastAsia="fr-FR"/>
              </w:rPr>
              <w:t>22,0%</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lang w:val="en-US"/>
              </w:rPr>
            </w:pPr>
            <w:r w:rsidRPr="00621BF1">
              <w:rPr>
                <w:rFonts w:eastAsia="Times New Roman" w:cs="Times New Roman"/>
                <w:color w:val="000000"/>
              </w:rPr>
              <w:t>% dépenses totales en santé</w:t>
            </w:r>
          </w:p>
        </w:tc>
        <w:tc>
          <w:tcPr>
            <w:tcW w:w="2960" w:type="dxa"/>
            <w:shd w:val="clear" w:color="000000" w:fill="DCE6F1"/>
            <w:noWrap/>
            <w:vAlign w:val="center"/>
            <w:hideMark/>
          </w:tcPr>
          <w:p w:rsidR="00621BF1" w:rsidRPr="00621BF1" w:rsidRDefault="00A1236C" w:rsidP="00621BF1">
            <w:pPr>
              <w:spacing w:after="0" w:line="240" w:lineRule="auto"/>
              <w:jc w:val="right"/>
              <w:rPr>
                <w:rFonts w:eastAsia="Times New Roman" w:cs="Times New Roman"/>
                <w:color w:val="000000"/>
                <w:lang w:val="en-US"/>
              </w:rPr>
            </w:pPr>
            <w:r w:rsidRPr="00545CD3">
              <w:rPr>
                <w:rFonts w:ascii="Times New Roman" w:eastAsia="Times New Roman" w:hAnsi="Times New Roman" w:cs="Times New Roman"/>
                <w:color w:val="000000"/>
                <w:sz w:val="24"/>
                <w:szCs w:val="24"/>
                <w:lang w:eastAsia="fr-FR"/>
              </w:rPr>
              <w:t>1,8%</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rPr>
            </w:pPr>
            <w:r w:rsidRPr="00621BF1">
              <w:rPr>
                <w:rFonts w:eastAsia="Times New Roman" w:cs="Times New Roman"/>
                <w:color w:val="000000"/>
              </w:rPr>
              <w:t>% Dépenses publiques de santé (DPS)</w:t>
            </w:r>
          </w:p>
        </w:tc>
        <w:tc>
          <w:tcPr>
            <w:tcW w:w="2960" w:type="dxa"/>
            <w:shd w:val="clear" w:color="000000" w:fill="DCE6F1"/>
            <w:noWrap/>
            <w:vAlign w:val="center"/>
            <w:hideMark/>
          </w:tcPr>
          <w:p w:rsidR="00621BF1" w:rsidRPr="00621BF1" w:rsidRDefault="00A1236C" w:rsidP="00621BF1">
            <w:pPr>
              <w:spacing w:after="0" w:line="240" w:lineRule="auto"/>
              <w:jc w:val="right"/>
              <w:rPr>
                <w:rFonts w:eastAsia="Times New Roman" w:cs="Times New Roman"/>
                <w:color w:val="000000"/>
                <w:lang w:val="en-US"/>
              </w:rPr>
            </w:pPr>
            <w:r w:rsidRPr="00545CD3">
              <w:rPr>
                <w:rFonts w:ascii="Times New Roman" w:eastAsia="Times New Roman" w:hAnsi="Times New Roman" w:cs="Times New Roman"/>
                <w:color w:val="000000"/>
                <w:sz w:val="24"/>
                <w:szCs w:val="24"/>
                <w:lang w:eastAsia="fr-FR"/>
              </w:rPr>
              <w:t>22,9%</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lang w:val="en-US"/>
              </w:rPr>
            </w:pPr>
            <w:r w:rsidRPr="00621BF1">
              <w:rPr>
                <w:rFonts w:eastAsia="Times New Roman" w:cs="Times New Roman"/>
                <w:color w:val="000000"/>
              </w:rPr>
              <w:t>% PIB</w:t>
            </w:r>
          </w:p>
        </w:tc>
        <w:tc>
          <w:tcPr>
            <w:tcW w:w="2960" w:type="dxa"/>
            <w:shd w:val="clear" w:color="000000" w:fill="DCE6F1"/>
            <w:noWrap/>
            <w:vAlign w:val="center"/>
            <w:hideMark/>
          </w:tcPr>
          <w:p w:rsidR="00621BF1" w:rsidRPr="00621BF1" w:rsidRDefault="00621BF1" w:rsidP="00621BF1">
            <w:pPr>
              <w:spacing w:after="0" w:line="240" w:lineRule="auto"/>
              <w:jc w:val="right"/>
              <w:rPr>
                <w:rFonts w:eastAsia="Times New Roman" w:cs="Times New Roman"/>
                <w:color w:val="000000"/>
                <w:lang w:val="en-US"/>
              </w:rPr>
            </w:pPr>
            <w:r w:rsidRPr="00621BF1">
              <w:rPr>
                <w:rFonts w:eastAsia="Times New Roman" w:cs="Times New Roman"/>
                <w:color w:val="000000"/>
              </w:rPr>
              <w:t>0,1%</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b/>
                <w:bCs/>
                <w:color w:val="000000"/>
                <w:lang w:val="en-US"/>
              </w:rPr>
            </w:pPr>
            <w:r w:rsidRPr="00621BF1">
              <w:rPr>
                <w:rFonts w:eastAsia="Times New Roman" w:cs="Times New Roman"/>
                <w:b/>
                <w:bCs/>
                <w:color w:val="000000"/>
              </w:rPr>
              <w:t>Total coûts partagés</w:t>
            </w:r>
          </w:p>
        </w:tc>
        <w:tc>
          <w:tcPr>
            <w:tcW w:w="2960" w:type="dxa"/>
            <w:shd w:val="clear" w:color="000000" w:fill="DCE6F1"/>
            <w:noWrap/>
            <w:vAlign w:val="center"/>
            <w:hideMark/>
          </w:tcPr>
          <w:p w:rsidR="00621BF1" w:rsidRPr="00621BF1" w:rsidRDefault="00A1236C" w:rsidP="00A1236C">
            <w:pPr>
              <w:spacing w:after="0" w:line="240" w:lineRule="auto"/>
              <w:jc w:val="right"/>
              <w:rPr>
                <w:rFonts w:eastAsia="Times New Roman" w:cs="Times New Roman"/>
                <w:color w:val="000000"/>
                <w:lang w:val="en-US"/>
              </w:rPr>
            </w:pPr>
            <w:r w:rsidRPr="00545CD3">
              <w:rPr>
                <w:rFonts w:ascii="Times New Roman" w:eastAsia="Times New Roman" w:hAnsi="Times New Roman" w:cs="Times New Roman"/>
                <w:b/>
                <w:sz w:val="24"/>
                <w:szCs w:val="24"/>
                <w:lang w:eastAsia="fr-FR"/>
              </w:rPr>
              <w:t>$1 498</w:t>
            </w:r>
            <w:r>
              <w:rPr>
                <w:rFonts w:ascii="Times New Roman" w:eastAsia="Times New Roman" w:hAnsi="Times New Roman" w:cs="Times New Roman"/>
                <w:b/>
                <w:sz w:val="24"/>
                <w:szCs w:val="24"/>
                <w:lang w:eastAsia="fr-FR"/>
              </w:rPr>
              <w:t> </w:t>
            </w:r>
            <w:r w:rsidRPr="00545CD3">
              <w:rPr>
                <w:rFonts w:ascii="Times New Roman" w:eastAsia="Times New Roman" w:hAnsi="Times New Roman" w:cs="Times New Roman"/>
                <w:b/>
                <w:sz w:val="24"/>
                <w:szCs w:val="24"/>
                <w:lang w:eastAsia="fr-FR"/>
              </w:rPr>
              <w:t xml:space="preserve">945 </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color w:val="000000"/>
              </w:rPr>
            </w:pPr>
            <w:r w:rsidRPr="00621BF1">
              <w:rPr>
                <w:rFonts w:eastAsia="Times New Roman" w:cs="Times New Roman"/>
                <w:color w:val="000000"/>
              </w:rPr>
              <w:t>% coûts partagés - système de santé</w:t>
            </w:r>
          </w:p>
        </w:tc>
        <w:tc>
          <w:tcPr>
            <w:tcW w:w="2960" w:type="dxa"/>
            <w:shd w:val="clear" w:color="000000" w:fill="DCE6F1"/>
            <w:noWrap/>
            <w:vAlign w:val="center"/>
            <w:hideMark/>
          </w:tcPr>
          <w:p w:rsidR="00621BF1" w:rsidRPr="00621BF1" w:rsidRDefault="00A1236C" w:rsidP="00621BF1">
            <w:pPr>
              <w:spacing w:after="0" w:line="240" w:lineRule="auto"/>
              <w:jc w:val="right"/>
              <w:rPr>
                <w:rFonts w:eastAsia="Times New Roman" w:cs="Times New Roman"/>
                <w:color w:val="000000"/>
                <w:lang w:val="en-US"/>
              </w:rPr>
            </w:pPr>
            <w:r w:rsidRPr="00545CD3">
              <w:rPr>
                <w:rFonts w:ascii="Times New Roman" w:eastAsia="Times New Roman" w:hAnsi="Times New Roman" w:cs="Times New Roman"/>
                <w:color w:val="000000"/>
                <w:sz w:val="24"/>
                <w:szCs w:val="24"/>
                <w:lang w:eastAsia="fr-FR"/>
              </w:rPr>
              <w:t>15,9%</w:t>
            </w:r>
          </w:p>
        </w:tc>
      </w:tr>
      <w:tr w:rsidR="00621BF1" w:rsidRPr="00621BF1" w:rsidTr="00AA70AB">
        <w:trPr>
          <w:trHeight w:val="360"/>
        </w:trPr>
        <w:tc>
          <w:tcPr>
            <w:tcW w:w="4520" w:type="dxa"/>
            <w:shd w:val="clear" w:color="auto" w:fill="auto"/>
            <w:vAlign w:val="center"/>
            <w:hideMark/>
          </w:tcPr>
          <w:p w:rsidR="00621BF1" w:rsidRPr="00621BF1" w:rsidRDefault="00621BF1" w:rsidP="00621BF1">
            <w:pPr>
              <w:spacing w:after="0" w:line="240" w:lineRule="auto"/>
              <w:rPr>
                <w:rFonts w:eastAsia="Times New Roman" w:cs="Times New Roman"/>
                <w:b/>
                <w:bCs/>
                <w:color w:val="000000"/>
                <w:lang w:val="en-US"/>
              </w:rPr>
            </w:pPr>
            <w:r w:rsidRPr="00621BF1">
              <w:rPr>
                <w:rFonts w:eastAsia="Times New Roman" w:cs="Times New Roman"/>
                <w:b/>
                <w:bCs/>
                <w:color w:val="000000"/>
              </w:rPr>
              <w:t>Total</w:t>
            </w:r>
          </w:p>
        </w:tc>
        <w:tc>
          <w:tcPr>
            <w:tcW w:w="2960" w:type="dxa"/>
            <w:shd w:val="clear" w:color="000000" w:fill="DCE6F1"/>
            <w:noWrap/>
            <w:vAlign w:val="center"/>
            <w:hideMark/>
          </w:tcPr>
          <w:p w:rsidR="00621BF1" w:rsidRPr="00621BF1" w:rsidRDefault="00A1236C" w:rsidP="00621BF1">
            <w:pPr>
              <w:spacing w:after="0" w:line="240" w:lineRule="auto"/>
              <w:jc w:val="right"/>
              <w:rPr>
                <w:rFonts w:eastAsia="Times New Roman" w:cs="Times New Roman"/>
                <w:color w:val="000000"/>
                <w:lang w:val="en-US"/>
              </w:rPr>
            </w:pPr>
            <w:r w:rsidRPr="00545CD3">
              <w:rPr>
                <w:rFonts w:ascii="Times New Roman" w:eastAsia="Times New Roman" w:hAnsi="Times New Roman" w:cs="Times New Roman"/>
                <w:b/>
                <w:sz w:val="24"/>
                <w:szCs w:val="24"/>
                <w:lang w:eastAsia="fr-FR"/>
              </w:rPr>
              <w:t>$9 416 056</w:t>
            </w:r>
            <w:r w:rsidR="00621BF1" w:rsidRPr="00621BF1">
              <w:rPr>
                <w:rFonts w:eastAsia="Times New Roman" w:cs="Times New Roman"/>
                <w:color w:val="000000"/>
              </w:rPr>
              <w:t xml:space="preserve"> </w:t>
            </w:r>
          </w:p>
        </w:tc>
      </w:tr>
    </w:tbl>
    <w:p w:rsidR="00A646DF" w:rsidRPr="00621BF1" w:rsidRDefault="00A646DF" w:rsidP="00621BF1">
      <w:pPr>
        <w:autoSpaceDE w:val="0"/>
        <w:autoSpaceDN w:val="0"/>
        <w:adjustRightInd w:val="0"/>
        <w:spacing w:before="240" w:line="240" w:lineRule="auto"/>
        <w:jc w:val="both"/>
        <w:rPr>
          <w:rFonts w:cs="Times New Roman"/>
          <w:bCs/>
          <w:color w:val="000000"/>
          <w:sz w:val="24"/>
          <w:szCs w:val="24"/>
        </w:rPr>
      </w:pPr>
    </w:p>
    <w:p w:rsidR="00621BF1" w:rsidRPr="00621BF1" w:rsidRDefault="00580D02" w:rsidP="00580D02">
      <w:pPr>
        <w:pStyle w:val="Titre3"/>
      </w:pPr>
      <w:bookmarkStart w:id="203" w:name="_Toc458593671"/>
      <w:r w:rsidRPr="00621BF1">
        <w:t>PROJECTION DES BESOINS EN RESSOURCES POUR LA PERIODE 2016-2020</w:t>
      </w:r>
      <w:bookmarkEnd w:id="203"/>
    </w:p>
    <w:p w:rsidR="00D6129F" w:rsidRPr="006757D3" w:rsidRDefault="00D6129F" w:rsidP="00D6129F">
      <w:pPr>
        <w:autoSpaceDE w:val="0"/>
        <w:autoSpaceDN w:val="0"/>
        <w:adjustRightInd w:val="0"/>
        <w:spacing w:before="240"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Ce tableau montre que les</w:t>
      </w:r>
      <w:r w:rsidRPr="006757D3">
        <w:rPr>
          <w:rFonts w:ascii="Times New Roman" w:hAnsi="Times New Roman" w:cs="Times New Roman"/>
          <w:bCs/>
          <w:color w:val="000000"/>
          <w:sz w:val="24"/>
          <w:szCs w:val="24"/>
        </w:rPr>
        <w:t xml:space="preserve"> ressources nécessaires à la réalisation des actions prévues dans le plan pour la période 2016-2020 s’élèvent à 1</w:t>
      </w:r>
      <w:r>
        <w:rPr>
          <w:rFonts w:ascii="Times New Roman" w:hAnsi="Times New Roman" w:cs="Times New Roman"/>
          <w:bCs/>
          <w:color w:val="000000"/>
          <w:sz w:val="24"/>
          <w:szCs w:val="24"/>
        </w:rPr>
        <w:t>30</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169</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710</w:t>
      </w:r>
      <w:r w:rsidRPr="006757D3">
        <w:rPr>
          <w:rFonts w:ascii="Times New Roman" w:hAnsi="Times New Roman" w:cs="Times New Roman"/>
          <w:bCs/>
          <w:color w:val="000000"/>
          <w:sz w:val="24"/>
          <w:szCs w:val="24"/>
        </w:rPr>
        <w:t xml:space="preserve"> USD. </w:t>
      </w:r>
      <w:r>
        <w:rPr>
          <w:rFonts w:ascii="Times New Roman" w:hAnsi="Times New Roman" w:cs="Times New Roman"/>
          <w:bCs/>
          <w:color w:val="000000"/>
          <w:sz w:val="24"/>
          <w:szCs w:val="24"/>
        </w:rPr>
        <w:t xml:space="preserve">Les éléments dominants de ces besoins sont : (i) </w:t>
      </w:r>
      <w:r w:rsidRPr="006757D3">
        <w:rPr>
          <w:rFonts w:ascii="Times New Roman" w:hAnsi="Times New Roman" w:cs="Times New Roman"/>
          <w:bCs/>
          <w:color w:val="000000"/>
          <w:sz w:val="24"/>
          <w:szCs w:val="24"/>
        </w:rPr>
        <w:t xml:space="preserve">l’approvisionnement en vaccins et logistique au titre des activités de vaccination systématique pour US </w:t>
      </w:r>
      <w:r>
        <w:rPr>
          <w:rFonts w:ascii="Times New Roman" w:hAnsi="Times New Roman" w:cs="Times New Roman"/>
          <w:bCs/>
          <w:color w:val="000000"/>
          <w:sz w:val="24"/>
          <w:szCs w:val="24"/>
        </w:rPr>
        <w:t>62</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241</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070</w:t>
      </w:r>
      <w:r w:rsidRPr="006757D3">
        <w:rPr>
          <w:rFonts w:ascii="Times New Roman" w:hAnsi="Times New Roman" w:cs="Times New Roman"/>
          <w:bCs/>
          <w:color w:val="000000"/>
          <w:sz w:val="24"/>
          <w:szCs w:val="24"/>
        </w:rPr>
        <w:t xml:space="preserve"> USD</w:t>
      </w:r>
      <w:r>
        <w:rPr>
          <w:rFonts w:ascii="Times New Roman" w:hAnsi="Times New Roman" w:cs="Times New Roman"/>
          <w:bCs/>
          <w:color w:val="000000"/>
          <w:sz w:val="24"/>
          <w:szCs w:val="24"/>
        </w:rPr>
        <w:t> ; (ii)</w:t>
      </w:r>
      <w:r w:rsidRPr="006757D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l</w:t>
      </w:r>
      <w:r w:rsidRPr="006757D3">
        <w:rPr>
          <w:rFonts w:ascii="Times New Roman" w:hAnsi="Times New Roman" w:cs="Times New Roman"/>
          <w:bCs/>
          <w:color w:val="000000"/>
          <w:sz w:val="24"/>
          <w:szCs w:val="24"/>
        </w:rPr>
        <w:t>es activités de vaccination supplémentaires pour 4</w:t>
      </w:r>
      <w:r>
        <w:rPr>
          <w:rFonts w:ascii="Times New Roman" w:hAnsi="Times New Roman" w:cs="Times New Roman"/>
          <w:bCs/>
          <w:color w:val="000000"/>
          <w:sz w:val="24"/>
          <w:szCs w:val="24"/>
        </w:rPr>
        <w:t>3</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119</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458</w:t>
      </w:r>
      <w:r w:rsidRPr="006757D3">
        <w:rPr>
          <w:rFonts w:ascii="Times New Roman" w:hAnsi="Times New Roman" w:cs="Times New Roman"/>
          <w:bCs/>
          <w:color w:val="000000"/>
          <w:sz w:val="24"/>
          <w:szCs w:val="24"/>
        </w:rPr>
        <w:t xml:space="preserve"> USD, </w:t>
      </w:r>
      <w:r>
        <w:rPr>
          <w:rFonts w:ascii="Times New Roman" w:hAnsi="Times New Roman" w:cs="Times New Roman"/>
          <w:bCs/>
          <w:color w:val="000000"/>
          <w:sz w:val="24"/>
          <w:szCs w:val="24"/>
        </w:rPr>
        <w:t>représentant respectivement 49</w:t>
      </w:r>
      <w:r w:rsidRPr="006757D3">
        <w:rPr>
          <w:rFonts w:ascii="Times New Roman" w:hAnsi="Times New Roman" w:cs="Times New Roman"/>
          <w:bCs/>
          <w:color w:val="000000"/>
          <w:sz w:val="24"/>
          <w:szCs w:val="24"/>
        </w:rPr>
        <w:t>% et 3</w:t>
      </w:r>
      <w:r>
        <w:rPr>
          <w:rFonts w:ascii="Times New Roman" w:hAnsi="Times New Roman" w:cs="Times New Roman"/>
          <w:bCs/>
          <w:color w:val="000000"/>
          <w:sz w:val="24"/>
          <w:szCs w:val="24"/>
        </w:rPr>
        <w:t>3</w:t>
      </w:r>
      <w:r w:rsidRPr="006757D3">
        <w:rPr>
          <w:rFonts w:ascii="Times New Roman" w:hAnsi="Times New Roman" w:cs="Times New Roman"/>
          <w:bCs/>
          <w:color w:val="000000"/>
          <w:sz w:val="24"/>
          <w:szCs w:val="24"/>
        </w:rPr>
        <w:t>% du total.</w:t>
      </w:r>
    </w:p>
    <w:p w:rsidR="00621BF1" w:rsidRPr="00621BF1" w:rsidRDefault="00621BF1" w:rsidP="00621BF1">
      <w:pPr>
        <w:autoSpaceDE w:val="0"/>
        <w:autoSpaceDN w:val="0"/>
        <w:adjustRightInd w:val="0"/>
        <w:spacing w:line="240" w:lineRule="auto"/>
        <w:jc w:val="both"/>
        <w:rPr>
          <w:rFonts w:cs="Times New Roman"/>
          <w:bCs/>
          <w:color w:val="000000"/>
          <w:sz w:val="24"/>
          <w:szCs w:val="24"/>
        </w:rPr>
      </w:pPr>
      <w:r w:rsidRPr="00621BF1">
        <w:rPr>
          <w:rFonts w:cs="Times New Roman"/>
          <w:bCs/>
          <w:color w:val="000000"/>
          <w:sz w:val="24"/>
          <w:szCs w:val="24"/>
        </w:rPr>
        <w:t xml:space="preserve">Les ressources nécessaires à la réalisation des actions prévues dans le plan pour la période 2016-2020 s’élèvent à </w:t>
      </w:r>
      <w:r w:rsidR="00D6129F" w:rsidRPr="006757D3">
        <w:rPr>
          <w:rFonts w:ascii="Times New Roman" w:hAnsi="Times New Roman" w:cs="Times New Roman"/>
          <w:bCs/>
          <w:color w:val="000000"/>
          <w:sz w:val="24"/>
          <w:szCs w:val="24"/>
        </w:rPr>
        <w:t>1</w:t>
      </w:r>
      <w:r w:rsidR="00D6129F">
        <w:rPr>
          <w:rFonts w:ascii="Times New Roman" w:hAnsi="Times New Roman" w:cs="Times New Roman"/>
          <w:bCs/>
          <w:color w:val="000000"/>
          <w:sz w:val="24"/>
          <w:szCs w:val="24"/>
        </w:rPr>
        <w:t>30</w:t>
      </w:r>
      <w:r w:rsidR="00D6129F" w:rsidRPr="006757D3">
        <w:rPr>
          <w:rFonts w:ascii="Times New Roman" w:hAnsi="Times New Roman" w:cs="Times New Roman"/>
          <w:bCs/>
          <w:color w:val="000000"/>
          <w:sz w:val="24"/>
          <w:szCs w:val="24"/>
        </w:rPr>
        <w:t>.</w:t>
      </w:r>
      <w:r w:rsidR="00D6129F">
        <w:rPr>
          <w:rFonts w:ascii="Times New Roman" w:hAnsi="Times New Roman" w:cs="Times New Roman"/>
          <w:bCs/>
          <w:color w:val="000000"/>
          <w:sz w:val="24"/>
          <w:szCs w:val="24"/>
        </w:rPr>
        <w:t>169</w:t>
      </w:r>
      <w:r w:rsidR="00D6129F" w:rsidRPr="006757D3">
        <w:rPr>
          <w:rFonts w:ascii="Times New Roman" w:hAnsi="Times New Roman" w:cs="Times New Roman"/>
          <w:bCs/>
          <w:color w:val="000000"/>
          <w:sz w:val="24"/>
          <w:szCs w:val="24"/>
        </w:rPr>
        <w:t>.</w:t>
      </w:r>
      <w:r w:rsidR="00D6129F">
        <w:rPr>
          <w:rFonts w:ascii="Times New Roman" w:hAnsi="Times New Roman" w:cs="Times New Roman"/>
          <w:bCs/>
          <w:color w:val="000000"/>
          <w:sz w:val="24"/>
          <w:szCs w:val="24"/>
        </w:rPr>
        <w:t>710</w:t>
      </w:r>
      <w:r w:rsidR="00D6129F" w:rsidRPr="006757D3">
        <w:rPr>
          <w:rFonts w:ascii="Times New Roman" w:hAnsi="Times New Roman" w:cs="Times New Roman"/>
          <w:bCs/>
          <w:color w:val="000000"/>
          <w:sz w:val="24"/>
          <w:szCs w:val="24"/>
        </w:rPr>
        <w:t xml:space="preserve"> USD</w:t>
      </w:r>
      <w:r w:rsidRPr="00621BF1">
        <w:rPr>
          <w:rFonts w:cs="Times New Roman"/>
          <w:bCs/>
          <w:color w:val="000000"/>
          <w:sz w:val="24"/>
          <w:szCs w:val="24"/>
        </w:rPr>
        <w:t xml:space="preserve"> US. La projection des ressources a surtout pris en compte l’approvisionnement en vaccins et logistique au titre des activités de vaccination systématique pour US </w:t>
      </w:r>
      <w:r w:rsidR="00D6129F">
        <w:rPr>
          <w:rFonts w:ascii="Times New Roman" w:hAnsi="Times New Roman" w:cs="Times New Roman"/>
          <w:bCs/>
          <w:color w:val="000000"/>
          <w:sz w:val="24"/>
          <w:szCs w:val="24"/>
        </w:rPr>
        <w:t>62</w:t>
      </w:r>
      <w:r w:rsidR="00D6129F" w:rsidRPr="006757D3">
        <w:rPr>
          <w:rFonts w:ascii="Times New Roman" w:hAnsi="Times New Roman" w:cs="Times New Roman"/>
          <w:bCs/>
          <w:color w:val="000000"/>
          <w:sz w:val="24"/>
          <w:szCs w:val="24"/>
        </w:rPr>
        <w:t>.</w:t>
      </w:r>
      <w:r w:rsidR="00D6129F">
        <w:rPr>
          <w:rFonts w:ascii="Times New Roman" w:hAnsi="Times New Roman" w:cs="Times New Roman"/>
          <w:bCs/>
          <w:color w:val="000000"/>
          <w:sz w:val="24"/>
          <w:szCs w:val="24"/>
        </w:rPr>
        <w:t>241</w:t>
      </w:r>
      <w:r w:rsidR="00D6129F" w:rsidRPr="006757D3">
        <w:rPr>
          <w:rFonts w:ascii="Times New Roman" w:hAnsi="Times New Roman" w:cs="Times New Roman"/>
          <w:bCs/>
          <w:color w:val="000000"/>
          <w:sz w:val="24"/>
          <w:szCs w:val="24"/>
        </w:rPr>
        <w:t>.</w:t>
      </w:r>
      <w:r w:rsidR="00D6129F">
        <w:rPr>
          <w:rFonts w:ascii="Times New Roman" w:hAnsi="Times New Roman" w:cs="Times New Roman"/>
          <w:bCs/>
          <w:color w:val="000000"/>
          <w:sz w:val="24"/>
          <w:szCs w:val="24"/>
        </w:rPr>
        <w:t>070</w:t>
      </w:r>
      <w:r w:rsidRPr="00621BF1">
        <w:rPr>
          <w:rFonts w:cs="Times New Roman"/>
          <w:bCs/>
          <w:color w:val="000000"/>
          <w:sz w:val="24"/>
          <w:szCs w:val="24"/>
        </w:rPr>
        <w:t xml:space="preserve"> US et des activités de vaccination supplémentaires pour </w:t>
      </w:r>
      <w:r w:rsidR="00D6129F" w:rsidRPr="006757D3">
        <w:rPr>
          <w:rFonts w:ascii="Times New Roman" w:hAnsi="Times New Roman" w:cs="Times New Roman"/>
          <w:bCs/>
          <w:color w:val="000000"/>
          <w:sz w:val="24"/>
          <w:szCs w:val="24"/>
        </w:rPr>
        <w:t>4</w:t>
      </w:r>
      <w:r w:rsidR="00D6129F">
        <w:rPr>
          <w:rFonts w:ascii="Times New Roman" w:hAnsi="Times New Roman" w:cs="Times New Roman"/>
          <w:bCs/>
          <w:color w:val="000000"/>
          <w:sz w:val="24"/>
          <w:szCs w:val="24"/>
        </w:rPr>
        <w:t>3</w:t>
      </w:r>
      <w:r w:rsidR="00D6129F" w:rsidRPr="006757D3">
        <w:rPr>
          <w:rFonts w:ascii="Times New Roman" w:hAnsi="Times New Roman" w:cs="Times New Roman"/>
          <w:bCs/>
          <w:color w:val="000000"/>
          <w:sz w:val="24"/>
          <w:szCs w:val="24"/>
        </w:rPr>
        <w:t>.</w:t>
      </w:r>
      <w:r w:rsidR="00D6129F">
        <w:rPr>
          <w:rFonts w:ascii="Times New Roman" w:hAnsi="Times New Roman" w:cs="Times New Roman"/>
          <w:bCs/>
          <w:color w:val="000000"/>
          <w:sz w:val="24"/>
          <w:szCs w:val="24"/>
        </w:rPr>
        <w:t>119</w:t>
      </w:r>
      <w:r w:rsidR="00D6129F" w:rsidRPr="006757D3">
        <w:rPr>
          <w:rFonts w:ascii="Times New Roman" w:hAnsi="Times New Roman" w:cs="Times New Roman"/>
          <w:bCs/>
          <w:color w:val="000000"/>
          <w:sz w:val="24"/>
          <w:szCs w:val="24"/>
        </w:rPr>
        <w:t>.</w:t>
      </w:r>
      <w:r w:rsidR="00D6129F">
        <w:rPr>
          <w:rFonts w:ascii="Times New Roman" w:hAnsi="Times New Roman" w:cs="Times New Roman"/>
          <w:bCs/>
          <w:color w:val="000000"/>
          <w:sz w:val="24"/>
          <w:szCs w:val="24"/>
        </w:rPr>
        <w:t>458</w:t>
      </w:r>
      <w:r w:rsidRPr="00621BF1">
        <w:rPr>
          <w:rFonts w:cs="Times New Roman"/>
          <w:bCs/>
          <w:color w:val="000000"/>
          <w:sz w:val="24"/>
          <w:szCs w:val="24"/>
        </w:rPr>
        <w:t xml:space="preserve"> US, soit dans l’ordre 4</w:t>
      </w:r>
      <w:r w:rsidR="00D6129F">
        <w:rPr>
          <w:rFonts w:cs="Times New Roman"/>
          <w:bCs/>
          <w:color w:val="000000"/>
          <w:sz w:val="24"/>
          <w:szCs w:val="24"/>
        </w:rPr>
        <w:t>9</w:t>
      </w:r>
      <w:r w:rsidRPr="00621BF1">
        <w:rPr>
          <w:rFonts w:cs="Times New Roman"/>
          <w:bCs/>
          <w:color w:val="000000"/>
          <w:sz w:val="24"/>
          <w:szCs w:val="24"/>
        </w:rPr>
        <w:t>% et 3</w:t>
      </w:r>
      <w:r w:rsidR="00D6129F">
        <w:rPr>
          <w:rFonts w:cs="Times New Roman"/>
          <w:bCs/>
          <w:color w:val="000000"/>
          <w:sz w:val="24"/>
          <w:szCs w:val="24"/>
        </w:rPr>
        <w:t>3</w:t>
      </w:r>
      <w:r w:rsidRPr="00621BF1">
        <w:rPr>
          <w:rFonts w:cs="Times New Roman"/>
          <w:bCs/>
          <w:color w:val="000000"/>
          <w:sz w:val="24"/>
          <w:szCs w:val="24"/>
        </w:rPr>
        <w:t>% du total.</w:t>
      </w:r>
    </w:p>
    <w:p w:rsidR="00D6129F" w:rsidRPr="006757D3" w:rsidRDefault="00D6129F" w:rsidP="00D6129F">
      <w:pPr>
        <w:autoSpaceDE w:val="0"/>
        <w:autoSpaceDN w:val="0"/>
        <w:adjustRightInd w:val="0"/>
        <w:spacing w:before="240" w:line="240" w:lineRule="auto"/>
        <w:jc w:val="both"/>
        <w:rPr>
          <w:rFonts w:ascii="Times New Roman" w:hAnsi="Times New Roman" w:cs="Times New Roman"/>
          <w:bCs/>
          <w:color w:val="000000"/>
          <w:sz w:val="24"/>
          <w:szCs w:val="24"/>
        </w:rPr>
      </w:pPr>
      <w:r w:rsidRPr="006757D3">
        <w:rPr>
          <w:rFonts w:ascii="Times New Roman" w:hAnsi="Times New Roman" w:cs="Times New Roman"/>
          <w:bCs/>
          <w:color w:val="000000"/>
          <w:sz w:val="24"/>
          <w:szCs w:val="24"/>
        </w:rPr>
        <w:t>Les besoins en ressources augment</w:t>
      </w:r>
      <w:r>
        <w:rPr>
          <w:rFonts w:ascii="Times New Roman" w:hAnsi="Times New Roman" w:cs="Times New Roman"/>
          <w:bCs/>
          <w:color w:val="000000"/>
          <w:sz w:val="24"/>
          <w:szCs w:val="24"/>
        </w:rPr>
        <w:t>ent en dents de scie</w:t>
      </w:r>
      <w:r w:rsidRPr="006757D3">
        <w:rPr>
          <w:rFonts w:ascii="Times New Roman" w:hAnsi="Times New Roman" w:cs="Times New Roman"/>
          <w:bCs/>
          <w:color w:val="000000"/>
          <w:sz w:val="24"/>
          <w:szCs w:val="24"/>
        </w:rPr>
        <w:t xml:space="preserve"> d’année en année au cours de la période. </w:t>
      </w:r>
      <w:r>
        <w:rPr>
          <w:rFonts w:ascii="Times New Roman" w:hAnsi="Times New Roman" w:cs="Times New Roman"/>
          <w:bCs/>
          <w:color w:val="000000"/>
          <w:sz w:val="24"/>
          <w:szCs w:val="24"/>
        </w:rPr>
        <w:t>Le niveau le plus bas se situe en 2017 avec 22.558.33</w:t>
      </w:r>
      <w:r w:rsidRPr="006757D3">
        <w:rPr>
          <w:rFonts w:ascii="Times New Roman" w:hAnsi="Times New Roman" w:cs="Times New Roman"/>
          <w:bCs/>
          <w:color w:val="000000"/>
          <w:sz w:val="24"/>
          <w:szCs w:val="24"/>
        </w:rPr>
        <w:t xml:space="preserve"> USD</w:t>
      </w:r>
      <w:r>
        <w:rPr>
          <w:rFonts w:ascii="Times New Roman" w:hAnsi="Times New Roman" w:cs="Times New Roman"/>
          <w:bCs/>
          <w:color w:val="000000"/>
          <w:sz w:val="24"/>
          <w:szCs w:val="24"/>
        </w:rPr>
        <w:t xml:space="preserve"> tandis que le pic </w:t>
      </w:r>
      <w:r>
        <w:rPr>
          <w:rFonts w:ascii="Times New Roman" w:hAnsi="Times New Roman" w:cs="Times New Roman"/>
          <w:bCs/>
          <w:color w:val="000000"/>
          <w:sz w:val="24"/>
          <w:szCs w:val="24"/>
        </w:rPr>
        <w:lastRenderedPageBreak/>
        <w:t xml:space="preserve">s’observe en 2019 avec </w:t>
      </w:r>
      <w:r w:rsidRPr="006757D3">
        <w:rPr>
          <w:rFonts w:ascii="Times New Roman" w:hAnsi="Times New Roman" w:cs="Times New Roman"/>
          <w:bCs/>
          <w:color w:val="000000"/>
          <w:sz w:val="24"/>
          <w:szCs w:val="24"/>
        </w:rPr>
        <w:t>31.</w:t>
      </w:r>
      <w:r>
        <w:rPr>
          <w:rFonts w:ascii="Times New Roman" w:hAnsi="Times New Roman" w:cs="Times New Roman"/>
          <w:bCs/>
          <w:color w:val="000000"/>
          <w:sz w:val="24"/>
          <w:szCs w:val="24"/>
        </w:rPr>
        <w:t>210</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4</w:t>
      </w:r>
      <w:r w:rsidRPr="006757D3">
        <w:rPr>
          <w:rFonts w:ascii="Times New Roman" w:hAnsi="Times New Roman" w:cs="Times New Roman"/>
          <w:bCs/>
          <w:color w:val="000000"/>
          <w:sz w:val="24"/>
          <w:szCs w:val="24"/>
        </w:rPr>
        <w:t xml:space="preserve">63 USD. Cette </w:t>
      </w:r>
      <w:r>
        <w:rPr>
          <w:rFonts w:ascii="Times New Roman" w:hAnsi="Times New Roman" w:cs="Times New Roman"/>
          <w:bCs/>
          <w:color w:val="000000"/>
          <w:sz w:val="24"/>
          <w:szCs w:val="24"/>
        </w:rPr>
        <w:t>évolution</w:t>
      </w:r>
      <w:r w:rsidRPr="006757D3">
        <w:rPr>
          <w:rFonts w:ascii="Times New Roman" w:hAnsi="Times New Roman" w:cs="Times New Roman"/>
          <w:bCs/>
          <w:color w:val="000000"/>
          <w:sz w:val="24"/>
          <w:szCs w:val="24"/>
        </w:rPr>
        <w:t xml:space="preserve"> peut s’expliquer par l’introduction progressive de nouveaux vaccins et les campagnes de vaccination à effectuer au cours de la période. </w:t>
      </w:r>
    </w:p>
    <w:p w:rsidR="00621BF1" w:rsidRPr="00621BF1" w:rsidRDefault="00621BF1" w:rsidP="00621BF1">
      <w:pPr>
        <w:autoSpaceDE w:val="0"/>
        <w:autoSpaceDN w:val="0"/>
        <w:adjustRightInd w:val="0"/>
        <w:spacing w:line="240" w:lineRule="auto"/>
        <w:jc w:val="both"/>
        <w:rPr>
          <w:rFonts w:cs="Times New Roman"/>
          <w:bCs/>
          <w:color w:val="000000"/>
          <w:sz w:val="24"/>
          <w:szCs w:val="24"/>
        </w:rPr>
      </w:pPr>
      <w:r w:rsidRPr="00621BF1">
        <w:rPr>
          <w:rFonts w:cs="Times New Roman"/>
          <w:bCs/>
          <w:color w:val="000000"/>
          <w:sz w:val="24"/>
          <w:szCs w:val="24"/>
        </w:rPr>
        <w:t xml:space="preserve">Le tableau ci-dessous montre la situation des besoins en ressources projetés pour la période du plan. </w:t>
      </w:r>
    </w:p>
    <w:p w:rsidR="00621BF1" w:rsidRPr="00621BF1" w:rsidRDefault="00580D02" w:rsidP="00580D02">
      <w:pPr>
        <w:pStyle w:val="Lgende"/>
        <w:rPr>
          <w:rFonts w:cs="Times New Roman"/>
          <w:b/>
          <w:bCs/>
          <w:color w:val="000000"/>
          <w:szCs w:val="24"/>
        </w:rPr>
      </w:pPr>
      <w:bookmarkStart w:id="204" w:name="_Toc456109496"/>
      <w:r>
        <w:t xml:space="preserve">Tableau </w:t>
      </w:r>
      <w:r w:rsidR="00B51B2E">
        <w:fldChar w:fldCharType="begin"/>
      </w:r>
      <w:r>
        <w:instrText xml:space="preserve"> SEQ Tableau \* ARABIC </w:instrText>
      </w:r>
      <w:r w:rsidR="00B51B2E">
        <w:fldChar w:fldCharType="separate"/>
      </w:r>
      <w:r w:rsidR="00DC4EEF">
        <w:rPr>
          <w:noProof/>
        </w:rPr>
        <w:t>30</w:t>
      </w:r>
      <w:r w:rsidR="00B51B2E">
        <w:fldChar w:fldCharType="end"/>
      </w:r>
      <w:r>
        <w:t xml:space="preserve">: </w:t>
      </w:r>
      <w:r w:rsidRPr="00BA40C1">
        <w:t xml:space="preserve">Projection des besoins en ressources pour le </w:t>
      </w:r>
      <w:proofErr w:type="spellStart"/>
      <w:r w:rsidRPr="00BA40C1">
        <w:t>PPAc</w:t>
      </w:r>
      <w:proofErr w:type="spellEnd"/>
      <w:r w:rsidRPr="00BA40C1">
        <w:t xml:space="preserve"> 2016-2020</w:t>
      </w:r>
      <w:bookmarkEnd w:id="204"/>
    </w:p>
    <w:tbl>
      <w:tblPr>
        <w:tblW w:w="11678" w:type="dxa"/>
        <w:tblInd w:w="-1423" w:type="dxa"/>
        <w:tblLayout w:type="fixed"/>
        <w:tblLook w:val="04A0" w:firstRow="1" w:lastRow="0" w:firstColumn="1" w:lastColumn="0" w:noHBand="0" w:noVBand="1"/>
      </w:tblPr>
      <w:tblGrid>
        <w:gridCol w:w="695"/>
        <w:gridCol w:w="2086"/>
        <w:gridCol w:w="1112"/>
        <w:gridCol w:w="1390"/>
        <w:gridCol w:w="1251"/>
        <w:gridCol w:w="1350"/>
        <w:gridCol w:w="1153"/>
        <w:gridCol w:w="1112"/>
        <w:gridCol w:w="1529"/>
      </w:tblGrid>
      <w:tr w:rsidR="008E1A62" w:rsidRPr="00580D02" w:rsidTr="00444EFD">
        <w:trPr>
          <w:trHeight w:val="692"/>
        </w:trPr>
        <w:tc>
          <w:tcPr>
            <w:tcW w:w="695" w:type="dxa"/>
            <w:tcBorders>
              <w:top w:val="single" w:sz="4" w:space="0" w:color="auto"/>
              <w:left w:val="single" w:sz="4" w:space="0" w:color="auto"/>
              <w:bottom w:val="single" w:sz="4" w:space="0" w:color="auto"/>
              <w:right w:val="single" w:sz="4" w:space="0" w:color="auto"/>
            </w:tcBorders>
            <w:shd w:val="clear" w:color="000000" w:fill="C65911"/>
            <w:vAlign w:val="center"/>
            <w:hideMark/>
          </w:tcPr>
          <w:p w:rsidR="002D2B74" w:rsidRPr="00580D02" w:rsidRDefault="008E1A62" w:rsidP="00D6129F">
            <w:pPr>
              <w:spacing w:after="0" w:line="240" w:lineRule="auto"/>
              <w:rPr>
                <w:rFonts w:eastAsia="Times New Roman" w:cs="Times New Roman"/>
                <w:b/>
                <w:bCs/>
                <w:color w:val="FFFFFF"/>
                <w:sz w:val="24"/>
                <w:szCs w:val="24"/>
                <w:lang w:val="en-US"/>
              </w:rPr>
            </w:pPr>
            <w:r>
              <w:rPr>
                <w:rFonts w:eastAsia="Times New Roman" w:cs="Times New Roman"/>
                <w:b/>
                <w:bCs/>
                <w:color w:val="FFFFFF"/>
                <w:sz w:val="24"/>
                <w:szCs w:val="24"/>
                <w:lang w:val="en-US"/>
              </w:rPr>
              <w:t>N°</w:t>
            </w:r>
          </w:p>
        </w:tc>
        <w:tc>
          <w:tcPr>
            <w:tcW w:w="2086" w:type="dxa"/>
            <w:tcBorders>
              <w:top w:val="single" w:sz="4" w:space="0" w:color="auto"/>
              <w:left w:val="nil"/>
              <w:bottom w:val="single" w:sz="4" w:space="0" w:color="auto"/>
              <w:right w:val="single" w:sz="4" w:space="0" w:color="auto"/>
            </w:tcBorders>
            <w:shd w:val="clear" w:color="000000" w:fill="C65911"/>
            <w:vAlign w:val="center"/>
            <w:hideMark/>
          </w:tcPr>
          <w:p w:rsidR="002D2B74" w:rsidRPr="00580D02" w:rsidRDefault="002D2B74" w:rsidP="002D2B74">
            <w:pPr>
              <w:spacing w:after="0" w:line="240" w:lineRule="auto"/>
              <w:jc w:val="center"/>
              <w:rPr>
                <w:rFonts w:eastAsia="Times New Roman" w:cs="Times New Roman"/>
                <w:b/>
                <w:bCs/>
                <w:color w:val="FFFFFF"/>
                <w:sz w:val="24"/>
                <w:szCs w:val="24"/>
                <w:lang w:val="en-US"/>
              </w:rPr>
            </w:pPr>
            <w:proofErr w:type="spellStart"/>
            <w:r w:rsidRPr="00580D02">
              <w:rPr>
                <w:rFonts w:eastAsia="Times New Roman" w:cs="Times New Roman"/>
                <w:b/>
                <w:bCs/>
                <w:color w:val="FFFFFF"/>
                <w:sz w:val="24"/>
                <w:szCs w:val="24"/>
                <w:lang w:val="en-US"/>
              </w:rPr>
              <w:t>Rubrique</w:t>
            </w:r>
            <w:proofErr w:type="spellEnd"/>
          </w:p>
        </w:tc>
        <w:tc>
          <w:tcPr>
            <w:tcW w:w="1112" w:type="dxa"/>
            <w:tcBorders>
              <w:top w:val="single" w:sz="4" w:space="0" w:color="auto"/>
              <w:left w:val="nil"/>
              <w:bottom w:val="single" w:sz="4" w:space="0" w:color="auto"/>
              <w:right w:val="nil"/>
            </w:tcBorders>
            <w:shd w:val="clear" w:color="000000" w:fill="C65911"/>
            <w:vAlign w:val="bottom"/>
          </w:tcPr>
          <w:p w:rsidR="002D2B74" w:rsidRPr="00580D02" w:rsidRDefault="002D2B74" w:rsidP="002D2B74">
            <w:pPr>
              <w:spacing w:after="0" w:line="240" w:lineRule="auto"/>
              <w:jc w:val="center"/>
              <w:rPr>
                <w:rFonts w:eastAsia="Times New Roman" w:cs="Times New Roman"/>
                <w:b/>
                <w:bCs/>
                <w:color w:val="FFFFFF"/>
                <w:sz w:val="24"/>
                <w:szCs w:val="24"/>
                <w:lang w:val="en-US"/>
              </w:rPr>
            </w:pPr>
            <w:r w:rsidRPr="00D6129F">
              <w:rPr>
                <w:rFonts w:eastAsia="Times New Roman" w:cs="Times New Roman"/>
                <w:b/>
                <w:bCs/>
                <w:color w:val="FFFFFF"/>
                <w:sz w:val="24"/>
                <w:szCs w:val="24"/>
                <w:lang w:val="en-US"/>
              </w:rPr>
              <w:t>2015</w:t>
            </w:r>
          </w:p>
        </w:tc>
        <w:tc>
          <w:tcPr>
            <w:tcW w:w="1390" w:type="dxa"/>
            <w:tcBorders>
              <w:top w:val="single" w:sz="4" w:space="0" w:color="auto"/>
              <w:left w:val="nil"/>
              <w:bottom w:val="single" w:sz="4" w:space="0" w:color="auto"/>
              <w:right w:val="nil"/>
            </w:tcBorders>
            <w:shd w:val="clear" w:color="000000" w:fill="C65911"/>
            <w:vAlign w:val="bottom"/>
          </w:tcPr>
          <w:p w:rsidR="002D2B74" w:rsidRPr="00580D02" w:rsidRDefault="002D2B74" w:rsidP="002D2B74">
            <w:pPr>
              <w:spacing w:after="0" w:line="240" w:lineRule="auto"/>
              <w:jc w:val="center"/>
              <w:rPr>
                <w:rFonts w:eastAsia="Times New Roman" w:cs="Times New Roman"/>
                <w:b/>
                <w:bCs/>
                <w:color w:val="FFFFFF"/>
                <w:sz w:val="24"/>
                <w:szCs w:val="24"/>
                <w:lang w:val="en-US"/>
              </w:rPr>
            </w:pPr>
            <w:r w:rsidRPr="00D6129F">
              <w:rPr>
                <w:rFonts w:eastAsia="Times New Roman" w:cs="Times New Roman"/>
                <w:b/>
                <w:bCs/>
                <w:color w:val="FFFFFF"/>
                <w:sz w:val="24"/>
                <w:szCs w:val="24"/>
                <w:lang w:val="en-US"/>
              </w:rPr>
              <w:t>2016</w:t>
            </w:r>
          </w:p>
        </w:tc>
        <w:tc>
          <w:tcPr>
            <w:tcW w:w="1251" w:type="dxa"/>
            <w:tcBorders>
              <w:top w:val="single" w:sz="4" w:space="0" w:color="auto"/>
              <w:left w:val="nil"/>
              <w:bottom w:val="single" w:sz="4" w:space="0" w:color="auto"/>
              <w:right w:val="nil"/>
            </w:tcBorders>
            <w:shd w:val="clear" w:color="000000" w:fill="C65911"/>
            <w:vAlign w:val="bottom"/>
          </w:tcPr>
          <w:p w:rsidR="002D2B74" w:rsidRPr="00580D02" w:rsidRDefault="002D2B74" w:rsidP="002D2B74">
            <w:pPr>
              <w:spacing w:after="0" w:line="240" w:lineRule="auto"/>
              <w:jc w:val="center"/>
              <w:rPr>
                <w:rFonts w:eastAsia="Times New Roman" w:cs="Times New Roman"/>
                <w:b/>
                <w:bCs/>
                <w:color w:val="FFFFFF"/>
                <w:sz w:val="24"/>
                <w:szCs w:val="24"/>
                <w:lang w:val="en-US"/>
              </w:rPr>
            </w:pPr>
            <w:r w:rsidRPr="00D6129F">
              <w:rPr>
                <w:rFonts w:eastAsia="Times New Roman" w:cs="Times New Roman"/>
                <w:b/>
                <w:bCs/>
                <w:color w:val="FFFFFF"/>
                <w:sz w:val="24"/>
                <w:szCs w:val="24"/>
                <w:lang w:val="en-US"/>
              </w:rPr>
              <w:t>2017</w:t>
            </w:r>
          </w:p>
        </w:tc>
        <w:tc>
          <w:tcPr>
            <w:tcW w:w="1350" w:type="dxa"/>
            <w:tcBorders>
              <w:top w:val="single" w:sz="4" w:space="0" w:color="auto"/>
              <w:left w:val="nil"/>
              <w:bottom w:val="single" w:sz="4" w:space="0" w:color="auto"/>
              <w:right w:val="nil"/>
            </w:tcBorders>
            <w:shd w:val="clear" w:color="000000" w:fill="C65911"/>
            <w:vAlign w:val="bottom"/>
          </w:tcPr>
          <w:p w:rsidR="002D2B74" w:rsidRPr="00580D02" w:rsidRDefault="002D2B74" w:rsidP="002D2B74">
            <w:pPr>
              <w:spacing w:after="0" w:line="240" w:lineRule="auto"/>
              <w:jc w:val="center"/>
              <w:rPr>
                <w:rFonts w:eastAsia="Times New Roman" w:cs="Times New Roman"/>
                <w:b/>
                <w:bCs/>
                <w:color w:val="FFFFFF"/>
                <w:sz w:val="24"/>
                <w:szCs w:val="24"/>
                <w:lang w:val="en-US"/>
              </w:rPr>
            </w:pPr>
            <w:r w:rsidRPr="00D6129F">
              <w:rPr>
                <w:rFonts w:eastAsia="Times New Roman" w:cs="Times New Roman"/>
                <w:b/>
                <w:bCs/>
                <w:color w:val="FFFFFF"/>
                <w:sz w:val="24"/>
                <w:szCs w:val="24"/>
                <w:lang w:val="en-US"/>
              </w:rPr>
              <w:t>2018</w:t>
            </w:r>
          </w:p>
        </w:tc>
        <w:tc>
          <w:tcPr>
            <w:tcW w:w="1153" w:type="dxa"/>
            <w:tcBorders>
              <w:top w:val="single" w:sz="4" w:space="0" w:color="auto"/>
              <w:left w:val="nil"/>
              <w:bottom w:val="single" w:sz="4" w:space="0" w:color="auto"/>
              <w:right w:val="nil"/>
            </w:tcBorders>
            <w:shd w:val="clear" w:color="000000" w:fill="C65911"/>
            <w:vAlign w:val="bottom"/>
          </w:tcPr>
          <w:p w:rsidR="002D2B74" w:rsidRPr="00580D02" w:rsidRDefault="002D2B74" w:rsidP="002D2B74">
            <w:pPr>
              <w:spacing w:after="0" w:line="240" w:lineRule="auto"/>
              <w:jc w:val="center"/>
              <w:rPr>
                <w:rFonts w:eastAsia="Times New Roman" w:cs="Times New Roman"/>
                <w:b/>
                <w:bCs/>
                <w:color w:val="FFFFFF"/>
                <w:sz w:val="24"/>
                <w:szCs w:val="24"/>
                <w:lang w:val="en-US"/>
              </w:rPr>
            </w:pPr>
            <w:r w:rsidRPr="00D6129F">
              <w:rPr>
                <w:rFonts w:eastAsia="Times New Roman" w:cs="Times New Roman"/>
                <w:b/>
                <w:bCs/>
                <w:color w:val="FFFFFF"/>
                <w:sz w:val="24"/>
                <w:szCs w:val="24"/>
                <w:lang w:val="en-US"/>
              </w:rPr>
              <w:t>2019</w:t>
            </w:r>
          </w:p>
        </w:tc>
        <w:tc>
          <w:tcPr>
            <w:tcW w:w="1112" w:type="dxa"/>
            <w:tcBorders>
              <w:top w:val="single" w:sz="4" w:space="0" w:color="auto"/>
              <w:left w:val="nil"/>
              <w:bottom w:val="single" w:sz="4" w:space="0" w:color="auto"/>
              <w:right w:val="nil"/>
            </w:tcBorders>
            <w:shd w:val="clear" w:color="000000" w:fill="C65911"/>
            <w:vAlign w:val="bottom"/>
          </w:tcPr>
          <w:p w:rsidR="002D2B74" w:rsidRPr="00580D02" w:rsidRDefault="002D2B74" w:rsidP="002D2B74">
            <w:pPr>
              <w:spacing w:after="0" w:line="240" w:lineRule="auto"/>
              <w:jc w:val="center"/>
              <w:rPr>
                <w:rFonts w:eastAsia="Times New Roman" w:cs="Times New Roman"/>
                <w:b/>
                <w:bCs/>
                <w:color w:val="FFFFFF"/>
                <w:sz w:val="24"/>
                <w:szCs w:val="24"/>
                <w:lang w:val="en-US"/>
              </w:rPr>
            </w:pPr>
            <w:r w:rsidRPr="00D6129F">
              <w:rPr>
                <w:rFonts w:eastAsia="Times New Roman" w:cs="Times New Roman"/>
                <w:b/>
                <w:bCs/>
                <w:color w:val="FFFFFF"/>
                <w:sz w:val="24"/>
                <w:szCs w:val="24"/>
                <w:lang w:val="en-US"/>
              </w:rPr>
              <w:t>2020</w:t>
            </w:r>
          </w:p>
        </w:tc>
        <w:tc>
          <w:tcPr>
            <w:tcW w:w="1529" w:type="dxa"/>
            <w:tcBorders>
              <w:top w:val="single" w:sz="4" w:space="0" w:color="auto"/>
              <w:left w:val="nil"/>
              <w:bottom w:val="single" w:sz="4" w:space="0" w:color="auto"/>
              <w:right w:val="single" w:sz="4" w:space="0" w:color="auto"/>
            </w:tcBorders>
            <w:shd w:val="clear" w:color="000000" w:fill="C65911"/>
            <w:vAlign w:val="center"/>
            <w:hideMark/>
          </w:tcPr>
          <w:p w:rsidR="002D2B74" w:rsidRPr="00580D02" w:rsidRDefault="002D2B74" w:rsidP="002D2B74">
            <w:pPr>
              <w:spacing w:after="0" w:line="240" w:lineRule="auto"/>
              <w:jc w:val="center"/>
              <w:rPr>
                <w:rFonts w:eastAsia="Times New Roman" w:cs="Times New Roman"/>
                <w:b/>
                <w:bCs/>
                <w:color w:val="FFFFFF"/>
                <w:sz w:val="24"/>
                <w:szCs w:val="24"/>
                <w:lang w:val="en-US"/>
              </w:rPr>
            </w:pPr>
            <w:proofErr w:type="spellStart"/>
            <w:r w:rsidRPr="00580D02">
              <w:rPr>
                <w:rFonts w:eastAsia="Times New Roman" w:cs="Times New Roman"/>
                <w:b/>
                <w:bCs/>
                <w:color w:val="FFFFFF"/>
                <w:sz w:val="24"/>
                <w:szCs w:val="24"/>
                <w:lang w:val="en-US"/>
              </w:rPr>
              <w:t>Montant</w:t>
            </w:r>
            <w:proofErr w:type="spellEnd"/>
            <w:r w:rsidRPr="00580D02">
              <w:rPr>
                <w:rFonts w:eastAsia="Times New Roman" w:cs="Times New Roman"/>
                <w:b/>
                <w:bCs/>
                <w:color w:val="FFFFFF"/>
                <w:sz w:val="24"/>
                <w:szCs w:val="24"/>
                <w:lang w:val="en-US"/>
              </w:rPr>
              <w:t xml:space="preserve"> (US)</w:t>
            </w:r>
          </w:p>
        </w:tc>
      </w:tr>
      <w:tr w:rsidR="008E1A62" w:rsidRPr="00580D02" w:rsidTr="00444EFD">
        <w:trPr>
          <w:trHeight w:val="1158"/>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jc w:val="center"/>
              <w:rPr>
                <w:rFonts w:eastAsia="Times New Roman" w:cs="Times New Roman"/>
                <w:color w:val="000000"/>
                <w:sz w:val="24"/>
                <w:szCs w:val="24"/>
                <w:lang w:val="en-US"/>
              </w:rPr>
            </w:pPr>
            <w:r w:rsidRPr="00580D02">
              <w:rPr>
                <w:rFonts w:eastAsia="Times New Roman" w:cs="Times New Roman"/>
                <w:color w:val="000000"/>
                <w:sz w:val="24"/>
                <w:szCs w:val="24"/>
                <w:lang w:val="en-US"/>
              </w:rPr>
              <w:t>1</w:t>
            </w:r>
          </w:p>
        </w:tc>
        <w:tc>
          <w:tcPr>
            <w:tcW w:w="2086" w:type="dxa"/>
            <w:tcBorders>
              <w:top w:val="nil"/>
              <w:left w:val="nil"/>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rPr>
                <w:rFonts w:eastAsia="Times New Roman" w:cs="Times New Roman"/>
                <w:color w:val="000000"/>
                <w:sz w:val="24"/>
                <w:szCs w:val="24"/>
              </w:rPr>
            </w:pPr>
            <w:r w:rsidRPr="00580D02">
              <w:rPr>
                <w:rFonts w:eastAsia="Times New Roman" w:cs="Times New Roman"/>
                <w:color w:val="000000"/>
                <w:sz w:val="24"/>
                <w:szCs w:val="24"/>
              </w:rPr>
              <w:t>Approvisionnement en vaccins et logistique (vaccination systématique)</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3 250 991</w:t>
            </w:r>
          </w:p>
        </w:tc>
        <w:tc>
          <w:tcPr>
            <w:tcW w:w="139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8 276 071</w:t>
            </w:r>
          </w:p>
        </w:tc>
        <w:tc>
          <w:tcPr>
            <w:tcW w:w="1251"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10 856 026</w:t>
            </w:r>
          </w:p>
        </w:tc>
        <w:tc>
          <w:tcPr>
            <w:tcW w:w="135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13 535 003</w:t>
            </w:r>
          </w:p>
        </w:tc>
        <w:tc>
          <w:tcPr>
            <w:tcW w:w="1153"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14 888 951</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14 685 020</w:t>
            </w:r>
          </w:p>
        </w:tc>
        <w:tc>
          <w:tcPr>
            <w:tcW w:w="1529" w:type="dxa"/>
            <w:tcBorders>
              <w:top w:val="nil"/>
              <w:left w:val="nil"/>
              <w:bottom w:val="single" w:sz="4" w:space="0" w:color="auto"/>
              <w:right w:val="single" w:sz="4" w:space="0" w:color="auto"/>
            </w:tcBorders>
            <w:shd w:val="clear" w:color="auto" w:fill="auto"/>
            <w:vAlign w:val="bottom"/>
            <w:hideMark/>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 xml:space="preserve">62 241 070   </w:t>
            </w:r>
          </w:p>
        </w:tc>
      </w:tr>
      <w:tr w:rsidR="008E1A62" w:rsidRPr="00580D02" w:rsidTr="00444EFD">
        <w:trPr>
          <w:trHeight w:val="386"/>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jc w:val="center"/>
              <w:rPr>
                <w:rFonts w:eastAsia="Times New Roman" w:cs="Times New Roman"/>
                <w:color w:val="000000"/>
                <w:sz w:val="24"/>
                <w:szCs w:val="24"/>
                <w:lang w:val="en-US"/>
              </w:rPr>
            </w:pPr>
            <w:r w:rsidRPr="00580D02">
              <w:rPr>
                <w:rFonts w:eastAsia="Times New Roman" w:cs="Times New Roman"/>
                <w:color w:val="000000"/>
                <w:sz w:val="24"/>
                <w:szCs w:val="24"/>
                <w:lang w:val="en-US"/>
              </w:rPr>
              <w:t>2</w:t>
            </w:r>
          </w:p>
        </w:tc>
        <w:tc>
          <w:tcPr>
            <w:tcW w:w="2086" w:type="dxa"/>
            <w:tcBorders>
              <w:top w:val="nil"/>
              <w:left w:val="nil"/>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rPr>
                <w:rFonts w:eastAsia="Times New Roman" w:cs="Times New Roman"/>
                <w:color w:val="000000"/>
                <w:sz w:val="24"/>
                <w:szCs w:val="24"/>
                <w:lang w:val="en-US"/>
              </w:rPr>
            </w:pPr>
            <w:proofErr w:type="spellStart"/>
            <w:r w:rsidRPr="00580D02">
              <w:rPr>
                <w:rFonts w:eastAsia="Times New Roman" w:cs="Times New Roman"/>
                <w:color w:val="000000"/>
                <w:sz w:val="24"/>
                <w:szCs w:val="24"/>
                <w:lang w:val="en-US"/>
              </w:rPr>
              <w:t>Prestations</w:t>
            </w:r>
            <w:proofErr w:type="spellEnd"/>
            <w:r w:rsidRPr="00580D02">
              <w:rPr>
                <w:rFonts w:eastAsia="Times New Roman" w:cs="Times New Roman"/>
                <w:color w:val="000000"/>
                <w:sz w:val="24"/>
                <w:szCs w:val="24"/>
                <w:lang w:val="en-US"/>
              </w:rPr>
              <w:t xml:space="preserve"> de services</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1 276 168</w:t>
            </w:r>
          </w:p>
        </w:tc>
        <w:tc>
          <w:tcPr>
            <w:tcW w:w="139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1 463 836</w:t>
            </w:r>
          </w:p>
        </w:tc>
        <w:tc>
          <w:tcPr>
            <w:tcW w:w="1251"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1 501 473</w:t>
            </w:r>
          </w:p>
        </w:tc>
        <w:tc>
          <w:tcPr>
            <w:tcW w:w="135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1 543 436</w:t>
            </w:r>
          </w:p>
        </w:tc>
        <w:tc>
          <w:tcPr>
            <w:tcW w:w="1153"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1 616 681</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1 528 131</w:t>
            </w:r>
          </w:p>
        </w:tc>
        <w:tc>
          <w:tcPr>
            <w:tcW w:w="1529" w:type="dxa"/>
            <w:tcBorders>
              <w:top w:val="nil"/>
              <w:left w:val="nil"/>
              <w:bottom w:val="single" w:sz="4" w:space="0" w:color="auto"/>
              <w:right w:val="single" w:sz="4" w:space="0" w:color="auto"/>
            </w:tcBorders>
            <w:shd w:val="clear" w:color="auto" w:fill="auto"/>
            <w:vAlign w:val="bottom"/>
            <w:hideMark/>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 xml:space="preserve">7 653 558   </w:t>
            </w:r>
          </w:p>
        </w:tc>
      </w:tr>
      <w:tr w:rsidR="008E1A62" w:rsidRPr="00580D02" w:rsidTr="00444EFD">
        <w:trPr>
          <w:trHeight w:val="386"/>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jc w:val="center"/>
              <w:rPr>
                <w:rFonts w:eastAsia="Times New Roman" w:cs="Times New Roman"/>
                <w:color w:val="000000"/>
                <w:sz w:val="24"/>
                <w:szCs w:val="24"/>
                <w:lang w:val="en-US"/>
              </w:rPr>
            </w:pPr>
            <w:r w:rsidRPr="00580D02">
              <w:rPr>
                <w:rFonts w:eastAsia="Times New Roman" w:cs="Times New Roman"/>
                <w:color w:val="000000"/>
                <w:sz w:val="24"/>
                <w:szCs w:val="24"/>
                <w:lang w:val="en-US"/>
              </w:rPr>
              <w:t>3</w:t>
            </w:r>
          </w:p>
        </w:tc>
        <w:tc>
          <w:tcPr>
            <w:tcW w:w="2086" w:type="dxa"/>
            <w:tcBorders>
              <w:top w:val="nil"/>
              <w:left w:val="nil"/>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rPr>
                <w:rFonts w:eastAsia="Times New Roman" w:cs="Times New Roman"/>
                <w:color w:val="000000"/>
                <w:sz w:val="24"/>
                <w:szCs w:val="24"/>
                <w:lang w:val="en-US"/>
              </w:rPr>
            </w:pPr>
            <w:proofErr w:type="spellStart"/>
            <w:r w:rsidRPr="00580D02">
              <w:rPr>
                <w:rFonts w:eastAsia="Times New Roman" w:cs="Times New Roman"/>
                <w:color w:val="000000"/>
                <w:sz w:val="24"/>
                <w:szCs w:val="24"/>
                <w:lang w:val="en-US"/>
              </w:rPr>
              <w:t>Plaidoyer</w:t>
            </w:r>
            <w:proofErr w:type="spellEnd"/>
            <w:r w:rsidRPr="00580D02">
              <w:rPr>
                <w:rFonts w:eastAsia="Times New Roman" w:cs="Times New Roman"/>
                <w:color w:val="000000"/>
                <w:sz w:val="24"/>
                <w:szCs w:val="24"/>
                <w:lang w:val="en-US"/>
              </w:rPr>
              <w:t xml:space="preserve"> et communication</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w:t>
            </w:r>
          </w:p>
        </w:tc>
        <w:tc>
          <w:tcPr>
            <w:tcW w:w="139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85 015</w:t>
            </w:r>
          </w:p>
        </w:tc>
        <w:tc>
          <w:tcPr>
            <w:tcW w:w="1251"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83 594</w:t>
            </w:r>
          </w:p>
        </w:tc>
        <w:tc>
          <w:tcPr>
            <w:tcW w:w="135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94 817</w:t>
            </w:r>
          </w:p>
        </w:tc>
        <w:tc>
          <w:tcPr>
            <w:tcW w:w="1153"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109 702</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118 521</w:t>
            </w:r>
          </w:p>
        </w:tc>
        <w:tc>
          <w:tcPr>
            <w:tcW w:w="1529" w:type="dxa"/>
            <w:tcBorders>
              <w:top w:val="nil"/>
              <w:left w:val="nil"/>
              <w:bottom w:val="single" w:sz="4" w:space="0" w:color="auto"/>
              <w:right w:val="single" w:sz="4" w:space="0" w:color="auto"/>
            </w:tcBorders>
            <w:shd w:val="clear" w:color="auto" w:fill="auto"/>
            <w:vAlign w:val="bottom"/>
            <w:hideMark/>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 xml:space="preserve">491 649   </w:t>
            </w:r>
          </w:p>
        </w:tc>
      </w:tr>
      <w:tr w:rsidR="008E1A62" w:rsidRPr="00580D02" w:rsidTr="00444EFD">
        <w:trPr>
          <w:trHeight w:val="772"/>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jc w:val="center"/>
              <w:rPr>
                <w:rFonts w:eastAsia="Times New Roman" w:cs="Times New Roman"/>
                <w:color w:val="000000"/>
                <w:sz w:val="24"/>
                <w:szCs w:val="24"/>
                <w:lang w:val="en-US"/>
              </w:rPr>
            </w:pPr>
            <w:r w:rsidRPr="00580D02">
              <w:rPr>
                <w:rFonts w:eastAsia="Times New Roman" w:cs="Times New Roman"/>
                <w:color w:val="000000"/>
                <w:sz w:val="24"/>
                <w:szCs w:val="24"/>
                <w:lang w:val="en-US"/>
              </w:rPr>
              <w:t>4</w:t>
            </w:r>
          </w:p>
        </w:tc>
        <w:tc>
          <w:tcPr>
            <w:tcW w:w="2086" w:type="dxa"/>
            <w:tcBorders>
              <w:top w:val="nil"/>
              <w:left w:val="nil"/>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rPr>
                <w:rFonts w:eastAsia="Times New Roman" w:cs="Times New Roman"/>
                <w:color w:val="000000"/>
                <w:sz w:val="24"/>
                <w:szCs w:val="24"/>
              </w:rPr>
            </w:pPr>
            <w:r w:rsidRPr="00580D02">
              <w:rPr>
                <w:rFonts w:eastAsia="Times New Roman" w:cs="Times New Roman"/>
                <w:color w:val="000000"/>
                <w:sz w:val="24"/>
                <w:szCs w:val="24"/>
              </w:rPr>
              <w:t>Monitoring et contrôle des maladies</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546 000</w:t>
            </w:r>
          </w:p>
        </w:tc>
        <w:tc>
          <w:tcPr>
            <w:tcW w:w="139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929 412</w:t>
            </w:r>
          </w:p>
        </w:tc>
        <w:tc>
          <w:tcPr>
            <w:tcW w:w="1251"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906 759</w:t>
            </w:r>
          </w:p>
        </w:tc>
        <w:tc>
          <w:tcPr>
            <w:tcW w:w="135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912 005</w:t>
            </w:r>
          </w:p>
        </w:tc>
        <w:tc>
          <w:tcPr>
            <w:tcW w:w="1153"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922 815</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917 437</w:t>
            </w:r>
          </w:p>
        </w:tc>
        <w:tc>
          <w:tcPr>
            <w:tcW w:w="1529" w:type="dxa"/>
            <w:tcBorders>
              <w:top w:val="nil"/>
              <w:left w:val="nil"/>
              <w:bottom w:val="single" w:sz="4" w:space="0" w:color="auto"/>
              <w:right w:val="single" w:sz="4" w:space="0" w:color="auto"/>
            </w:tcBorders>
            <w:shd w:val="clear" w:color="auto" w:fill="auto"/>
            <w:vAlign w:val="bottom"/>
            <w:hideMark/>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 xml:space="preserve">4 588 428   </w:t>
            </w:r>
          </w:p>
        </w:tc>
      </w:tr>
      <w:tr w:rsidR="008E1A62" w:rsidRPr="00580D02" w:rsidTr="00444EFD">
        <w:trPr>
          <w:trHeight w:val="386"/>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jc w:val="center"/>
              <w:rPr>
                <w:rFonts w:eastAsia="Times New Roman" w:cs="Times New Roman"/>
                <w:color w:val="000000"/>
                <w:sz w:val="24"/>
                <w:szCs w:val="24"/>
                <w:lang w:val="en-US"/>
              </w:rPr>
            </w:pPr>
            <w:r w:rsidRPr="00580D02">
              <w:rPr>
                <w:rFonts w:eastAsia="Times New Roman" w:cs="Times New Roman"/>
                <w:color w:val="000000"/>
                <w:sz w:val="24"/>
                <w:szCs w:val="24"/>
                <w:lang w:val="en-US"/>
              </w:rPr>
              <w:t>5</w:t>
            </w:r>
          </w:p>
        </w:tc>
        <w:tc>
          <w:tcPr>
            <w:tcW w:w="2086" w:type="dxa"/>
            <w:tcBorders>
              <w:top w:val="nil"/>
              <w:left w:val="nil"/>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rPr>
                <w:rFonts w:eastAsia="Times New Roman" w:cs="Times New Roman"/>
                <w:color w:val="000000"/>
                <w:sz w:val="24"/>
                <w:szCs w:val="24"/>
                <w:lang w:val="en-US"/>
              </w:rPr>
            </w:pPr>
            <w:proofErr w:type="spellStart"/>
            <w:r w:rsidRPr="00580D02">
              <w:rPr>
                <w:rFonts w:eastAsia="Times New Roman" w:cs="Times New Roman"/>
                <w:color w:val="000000"/>
                <w:sz w:val="24"/>
                <w:szCs w:val="24"/>
                <w:lang w:val="en-US"/>
              </w:rPr>
              <w:t>Gestion</w:t>
            </w:r>
            <w:proofErr w:type="spellEnd"/>
            <w:r w:rsidRPr="00580D02">
              <w:rPr>
                <w:rFonts w:eastAsia="Times New Roman" w:cs="Times New Roman"/>
                <w:color w:val="000000"/>
                <w:sz w:val="24"/>
                <w:szCs w:val="24"/>
                <w:lang w:val="en-US"/>
              </w:rPr>
              <w:t xml:space="preserve"> du </w:t>
            </w:r>
            <w:proofErr w:type="spellStart"/>
            <w:r w:rsidRPr="00580D02">
              <w:rPr>
                <w:rFonts w:eastAsia="Times New Roman" w:cs="Times New Roman"/>
                <w:color w:val="000000"/>
                <w:sz w:val="24"/>
                <w:szCs w:val="24"/>
                <w:lang w:val="en-US"/>
              </w:rPr>
              <w:t>programme</w:t>
            </w:r>
            <w:proofErr w:type="spellEnd"/>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w:t>
            </w:r>
          </w:p>
        </w:tc>
        <w:tc>
          <w:tcPr>
            <w:tcW w:w="139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726 214</w:t>
            </w:r>
          </w:p>
        </w:tc>
        <w:tc>
          <w:tcPr>
            <w:tcW w:w="1251"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665 370</w:t>
            </w:r>
          </w:p>
        </w:tc>
        <w:tc>
          <w:tcPr>
            <w:tcW w:w="135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456 956</w:t>
            </w:r>
          </w:p>
        </w:tc>
        <w:tc>
          <w:tcPr>
            <w:tcW w:w="1153"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508 960</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541 000</w:t>
            </w:r>
          </w:p>
        </w:tc>
        <w:tc>
          <w:tcPr>
            <w:tcW w:w="1529" w:type="dxa"/>
            <w:tcBorders>
              <w:top w:val="nil"/>
              <w:left w:val="nil"/>
              <w:bottom w:val="single" w:sz="4" w:space="0" w:color="auto"/>
              <w:right w:val="single" w:sz="4" w:space="0" w:color="auto"/>
            </w:tcBorders>
            <w:shd w:val="clear" w:color="auto" w:fill="auto"/>
            <w:vAlign w:val="bottom"/>
            <w:hideMark/>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 xml:space="preserve">2 898 499   </w:t>
            </w:r>
          </w:p>
        </w:tc>
      </w:tr>
      <w:tr w:rsidR="008E1A62" w:rsidRPr="00580D02" w:rsidTr="00444EFD">
        <w:trPr>
          <w:trHeight w:val="772"/>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jc w:val="center"/>
              <w:rPr>
                <w:rFonts w:eastAsia="Times New Roman" w:cs="Times New Roman"/>
                <w:color w:val="000000"/>
                <w:sz w:val="24"/>
                <w:szCs w:val="24"/>
                <w:lang w:val="en-US"/>
              </w:rPr>
            </w:pPr>
            <w:r w:rsidRPr="00580D02">
              <w:rPr>
                <w:rFonts w:eastAsia="Times New Roman" w:cs="Times New Roman"/>
                <w:color w:val="000000"/>
                <w:sz w:val="24"/>
                <w:szCs w:val="24"/>
                <w:lang w:val="en-US"/>
              </w:rPr>
              <w:t>6</w:t>
            </w:r>
          </w:p>
        </w:tc>
        <w:tc>
          <w:tcPr>
            <w:tcW w:w="2086" w:type="dxa"/>
            <w:tcBorders>
              <w:top w:val="nil"/>
              <w:left w:val="nil"/>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rPr>
                <w:rFonts w:eastAsia="Times New Roman" w:cs="Times New Roman"/>
                <w:color w:val="000000"/>
                <w:sz w:val="24"/>
                <w:szCs w:val="24"/>
                <w:lang w:val="en-US"/>
              </w:rPr>
            </w:pPr>
            <w:proofErr w:type="spellStart"/>
            <w:r w:rsidRPr="00580D02">
              <w:rPr>
                <w:rFonts w:eastAsia="Times New Roman" w:cs="Times New Roman"/>
                <w:color w:val="000000"/>
                <w:sz w:val="24"/>
                <w:szCs w:val="24"/>
                <w:lang w:val="en-US"/>
              </w:rPr>
              <w:t>Activités</w:t>
            </w:r>
            <w:proofErr w:type="spellEnd"/>
            <w:r w:rsidRPr="00580D02">
              <w:rPr>
                <w:rFonts w:eastAsia="Times New Roman" w:cs="Times New Roman"/>
                <w:color w:val="000000"/>
                <w:sz w:val="24"/>
                <w:szCs w:val="24"/>
                <w:lang w:val="en-US"/>
              </w:rPr>
              <w:t xml:space="preserve"> de vaccination </w:t>
            </w:r>
            <w:proofErr w:type="spellStart"/>
            <w:r w:rsidRPr="00580D02">
              <w:rPr>
                <w:rFonts w:eastAsia="Times New Roman" w:cs="Times New Roman"/>
                <w:color w:val="000000"/>
                <w:sz w:val="24"/>
                <w:szCs w:val="24"/>
                <w:lang w:val="en-US"/>
              </w:rPr>
              <w:t>supplémentaires</w:t>
            </w:r>
            <w:proofErr w:type="spellEnd"/>
            <w:r w:rsidRPr="00580D02">
              <w:rPr>
                <w:rFonts w:eastAsia="Times New Roman" w:cs="Times New Roman"/>
                <w:color w:val="000000"/>
                <w:sz w:val="24"/>
                <w:szCs w:val="24"/>
                <w:lang w:val="en-US"/>
              </w:rPr>
              <w:t xml:space="preserve"> </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2 843 952</w:t>
            </w:r>
          </w:p>
        </w:tc>
        <w:tc>
          <w:tcPr>
            <w:tcW w:w="139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9 966 995</w:t>
            </w:r>
          </w:p>
        </w:tc>
        <w:tc>
          <w:tcPr>
            <w:tcW w:w="1251"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7 253 066</w:t>
            </w:r>
          </w:p>
        </w:tc>
        <w:tc>
          <w:tcPr>
            <w:tcW w:w="135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7 491 800</w:t>
            </w:r>
          </w:p>
        </w:tc>
        <w:tc>
          <w:tcPr>
            <w:tcW w:w="1153"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10 989 873</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7 417 725</w:t>
            </w:r>
          </w:p>
        </w:tc>
        <w:tc>
          <w:tcPr>
            <w:tcW w:w="1529" w:type="dxa"/>
            <w:tcBorders>
              <w:top w:val="nil"/>
              <w:left w:val="nil"/>
              <w:bottom w:val="single" w:sz="4" w:space="0" w:color="auto"/>
              <w:right w:val="single" w:sz="4" w:space="0" w:color="auto"/>
            </w:tcBorders>
            <w:shd w:val="clear" w:color="auto" w:fill="auto"/>
            <w:vAlign w:val="bottom"/>
            <w:hideMark/>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 xml:space="preserve">43 119 458   </w:t>
            </w:r>
          </w:p>
        </w:tc>
      </w:tr>
      <w:tr w:rsidR="008E1A62" w:rsidRPr="00580D02" w:rsidTr="00444EFD">
        <w:trPr>
          <w:trHeight w:val="772"/>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jc w:val="center"/>
              <w:rPr>
                <w:rFonts w:eastAsia="Times New Roman" w:cs="Times New Roman"/>
                <w:color w:val="000000"/>
                <w:sz w:val="24"/>
                <w:szCs w:val="24"/>
                <w:lang w:val="en-US"/>
              </w:rPr>
            </w:pPr>
            <w:r w:rsidRPr="00580D02">
              <w:rPr>
                <w:rFonts w:eastAsia="Times New Roman" w:cs="Times New Roman"/>
                <w:color w:val="000000"/>
                <w:sz w:val="24"/>
                <w:szCs w:val="24"/>
                <w:lang w:val="en-US"/>
              </w:rPr>
              <w:t>7</w:t>
            </w:r>
          </w:p>
        </w:tc>
        <w:tc>
          <w:tcPr>
            <w:tcW w:w="2086" w:type="dxa"/>
            <w:tcBorders>
              <w:top w:val="nil"/>
              <w:left w:val="nil"/>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rPr>
                <w:rFonts w:eastAsia="Times New Roman" w:cs="Times New Roman"/>
                <w:color w:val="000000"/>
                <w:sz w:val="24"/>
                <w:szCs w:val="24"/>
              </w:rPr>
            </w:pPr>
            <w:r w:rsidRPr="00580D02">
              <w:rPr>
                <w:rFonts w:eastAsia="Times New Roman" w:cs="Times New Roman"/>
                <w:color w:val="000000"/>
                <w:sz w:val="24"/>
                <w:szCs w:val="24"/>
              </w:rPr>
              <w:t>Coûts partagés du système de santé</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1 498 945</w:t>
            </w:r>
          </w:p>
        </w:tc>
        <w:tc>
          <w:tcPr>
            <w:tcW w:w="139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1 358 008</w:t>
            </w:r>
          </w:p>
        </w:tc>
        <w:tc>
          <w:tcPr>
            <w:tcW w:w="1251"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1 292 043</w:t>
            </w:r>
          </w:p>
        </w:tc>
        <w:tc>
          <w:tcPr>
            <w:tcW w:w="135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1 852 683</w:t>
            </w:r>
          </w:p>
        </w:tc>
        <w:tc>
          <w:tcPr>
            <w:tcW w:w="1153"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2 173 480</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2 500 833</w:t>
            </w:r>
          </w:p>
        </w:tc>
        <w:tc>
          <w:tcPr>
            <w:tcW w:w="1529" w:type="dxa"/>
            <w:tcBorders>
              <w:top w:val="nil"/>
              <w:left w:val="nil"/>
              <w:bottom w:val="single" w:sz="4" w:space="0" w:color="auto"/>
              <w:right w:val="single" w:sz="4" w:space="0" w:color="auto"/>
            </w:tcBorders>
            <w:shd w:val="clear" w:color="auto" w:fill="auto"/>
            <w:vAlign w:val="bottom"/>
            <w:hideMark/>
          </w:tcPr>
          <w:p w:rsidR="008E1A62" w:rsidRPr="00580D02" w:rsidRDefault="008E1A62" w:rsidP="00D6129F">
            <w:pPr>
              <w:spacing w:after="0" w:line="240" w:lineRule="auto"/>
              <w:jc w:val="center"/>
              <w:rPr>
                <w:rFonts w:eastAsia="Times New Roman" w:cs="Times New Roman"/>
                <w:color w:val="000000"/>
                <w:sz w:val="24"/>
                <w:szCs w:val="24"/>
                <w:lang w:val="en-US"/>
              </w:rPr>
            </w:pPr>
            <w:r w:rsidRPr="00F05F44">
              <w:rPr>
                <w:rFonts w:ascii="Times New Roman" w:eastAsia="Times New Roman" w:hAnsi="Times New Roman" w:cs="Times New Roman"/>
                <w:color w:val="000000"/>
                <w:sz w:val="20"/>
                <w:szCs w:val="20"/>
                <w:lang w:eastAsia="fr-FR"/>
              </w:rPr>
              <w:t xml:space="preserve">9 177 047   </w:t>
            </w:r>
          </w:p>
        </w:tc>
      </w:tr>
      <w:tr w:rsidR="008E1A62" w:rsidRPr="00580D02" w:rsidTr="00444EFD">
        <w:trPr>
          <w:trHeight w:val="386"/>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jc w:val="center"/>
              <w:rPr>
                <w:rFonts w:eastAsia="Times New Roman" w:cs="Times New Roman"/>
                <w:b/>
                <w:bCs/>
                <w:color w:val="000000"/>
                <w:sz w:val="24"/>
                <w:szCs w:val="24"/>
                <w:lang w:val="en-US"/>
              </w:rPr>
            </w:pPr>
            <w:r w:rsidRPr="00580D02">
              <w:rPr>
                <w:rFonts w:eastAsia="Times New Roman" w:cs="Times New Roman"/>
                <w:b/>
                <w:bCs/>
                <w:color w:val="000000"/>
                <w:sz w:val="24"/>
                <w:szCs w:val="24"/>
                <w:lang w:val="en-US"/>
              </w:rPr>
              <w:t>8</w:t>
            </w:r>
          </w:p>
        </w:tc>
        <w:tc>
          <w:tcPr>
            <w:tcW w:w="2086" w:type="dxa"/>
            <w:tcBorders>
              <w:top w:val="nil"/>
              <w:left w:val="nil"/>
              <w:bottom w:val="single" w:sz="4" w:space="0" w:color="auto"/>
              <w:right w:val="single" w:sz="4" w:space="0" w:color="auto"/>
            </w:tcBorders>
            <w:shd w:val="clear" w:color="auto" w:fill="auto"/>
            <w:vAlign w:val="center"/>
            <w:hideMark/>
          </w:tcPr>
          <w:p w:rsidR="008E1A62" w:rsidRPr="00580D02" w:rsidRDefault="008E1A62" w:rsidP="008E1A62">
            <w:pPr>
              <w:spacing w:after="0" w:line="240" w:lineRule="auto"/>
              <w:jc w:val="both"/>
              <w:rPr>
                <w:rFonts w:eastAsia="Times New Roman" w:cs="Times New Roman"/>
                <w:b/>
                <w:bCs/>
                <w:color w:val="000000"/>
                <w:sz w:val="24"/>
                <w:szCs w:val="24"/>
                <w:lang w:val="en-US"/>
              </w:rPr>
            </w:pPr>
            <w:r w:rsidRPr="00580D02">
              <w:rPr>
                <w:rFonts w:eastAsia="Times New Roman" w:cs="Times New Roman"/>
                <w:b/>
                <w:bCs/>
                <w:color w:val="000000"/>
                <w:sz w:val="24"/>
                <w:szCs w:val="24"/>
                <w:lang w:val="en-US"/>
              </w:rPr>
              <w:t>Total</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b/>
                <w:bCs/>
                <w:color w:val="000000"/>
                <w:sz w:val="24"/>
                <w:szCs w:val="24"/>
                <w:lang w:val="en-US"/>
              </w:rPr>
            </w:pPr>
            <w:r w:rsidRPr="00F05F44">
              <w:rPr>
                <w:rFonts w:ascii="Times New Roman" w:eastAsia="Times New Roman" w:hAnsi="Times New Roman" w:cs="Times New Roman"/>
                <w:b/>
                <w:bCs/>
                <w:color w:val="000000"/>
                <w:sz w:val="20"/>
                <w:szCs w:val="20"/>
                <w:lang w:eastAsia="fr-FR"/>
              </w:rPr>
              <w:t>9 416 056</w:t>
            </w:r>
          </w:p>
        </w:tc>
        <w:tc>
          <w:tcPr>
            <w:tcW w:w="139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b/>
                <w:bCs/>
                <w:color w:val="000000"/>
                <w:sz w:val="24"/>
                <w:szCs w:val="24"/>
                <w:lang w:val="en-US"/>
              </w:rPr>
            </w:pPr>
            <w:r w:rsidRPr="00F05F44">
              <w:rPr>
                <w:rFonts w:ascii="Times New Roman" w:eastAsia="Times New Roman" w:hAnsi="Times New Roman" w:cs="Times New Roman"/>
                <w:b/>
                <w:bCs/>
                <w:color w:val="000000"/>
                <w:sz w:val="20"/>
                <w:szCs w:val="20"/>
                <w:lang w:eastAsia="fr-FR"/>
              </w:rPr>
              <w:t>22 805 550</w:t>
            </w:r>
          </w:p>
        </w:tc>
        <w:tc>
          <w:tcPr>
            <w:tcW w:w="1251"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b/>
                <w:bCs/>
                <w:color w:val="000000"/>
                <w:sz w:val="24"/>
                <w:szCs w:val="24"/>
                <w:lang w:val="en-US"/>
              </w:rPr>
            </w:pPr>
            <w:r w:rsidRPr="00F05F44">
              <w:rPr>
                <w:rFonts w:ascii="Times New Roman" w:eastAsia="Times New Roman" w:hAnsi="Times New Roman" w:cs="Times New Roman"/>
                <w:b/>
                <w:bCs/>
                <w:color w:val="000000"/>
                <w:sz w:val="20"/>
                <w:szCs w:val="20"/>
                <w:lang w:eastAsia="fr-FR"/>
              </w:rPr>
              <w:t>22 558 331</w:t>
            </w:r>
          </w:p>
        </w:tc>
        <w:tc>
          <w:tcPr>
            <w:tcW w:w="1350"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b/>
                <w:bCs/>
                <w:color w:val="000000"/>
                <w:sz w:val="24"/>
                <w:szCs w:val="24"/>
                <w:lang w:val="en-US"/>
              </w:rPr>
            </w:pPr>
            <w:r w:rsidRPr="00F05F44">
              <w:rPr>
                <w:rFonts w:ascii="Times New Roman" w:eastAsia="Times New Roman" w:hAnsi="Times New Roman" w:cs="Times New Roman"/>
                <w:b/>
                <w:bCs/>
                <w:color w:val="000000"/>
                <w:sz w:val="20"/>
                <w:szCs w:val="20"/>
                <w:lang w:eastAsia="fr-FR"/>
              </w:rPr>
              <w:t>25 886 700</w:t>
            </w:r>
          </w:p>
        </w:tc>
        <w:tc>
          <w:tcPr>
            <w:tcW w:w="1153"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b/>
                <w:bCs/>
                <w:color w:val="000000"/>
                <w:sz w:val="24"/>
                <w:szCs w:val="24"/>
                <w:lang w:val="en-US"/>
              </w:rPr>
            </w:pPr>
            <w:r w:rsidRPr="00F05F44">
              <w:rPr>
                <w:rFonts w:ascii="Times New Roman" w:eastAsia="Times New Roman" w:hAnsi="Times New Roman" w:cs="Times New Roman"/>
                <w:b/>
                <w:bCs/>
                <w:color w:val="000000"/>
                <w:sz w:val="20"/>
                <w:szCs w:val="20"/>
                <w:lang w:eastAsia="fr-FR"/>
              </w:rPr>
              <w:t>31 210 463</w:t>
            </w:r>
          </w:p>
        </w:tc>
        <w:tc>
          <w:tcPr>
            <w:tcW w:w="1112" w:type="dxa"/>
            <w:tcBorders>
              <w:top w:val="nil"/>
              <w:left w:val="nil"/>
              <w:bottom w:val="single" w:sz="4" w:space="0" w:color="auto"/>
              <w:right w:val="nil"/>
            </w:tcBorders>
            <w:vAlign w:val="bottom"/>
          </w:tcPr>
          <w:p w:rsidR="008E1A62" w:rsidRPr="00580D02" w:rsidRDefault="008E1A62" w:rsidP="00D6129F">
            <w:pPr>
              <w:spacing w:after="0" w:line="240" w:lineRule="auto"/>
              <w:jc w:val="center"/>
              <w:rPr>
                <w:rFonts w:eastAsia="Times New Roman" w:cs="Times New Roman"/>
                <w:b/>
                <w:bCs/>
                <w:color w:val="000000"/>
                <w:sz w:val="24"/>
                <w:szCs w:val="24"/>
                <w:lang w:val="en-US"/>
              </w:rPr>
            </w:pPr>
            <w:r w:rsidRPr="00F05F44">
              <w:rPr>
                <w:rFonts w:ascii="Times New Roman" w:eastAsia="Times New Roman" w:hAnsi="Times New Roman" w:cs="Times New Roman"/>
                <w:b/>
                <w:bCs/>
                <w:color w:val="000000"/>
                <w:sz w:val="20"/>
                <w:szCs w:val="20"/>
                <w:lang w:eastAsia="fr-FR"/>
              </w:rPr>
              <w:t>27 708 666</w:t>
            </w:r>
          </w:p>
        </w:tc>
        <w:tc>
          <w:tcPr>
            <w:tcW w:w="1529" w:type="dxa"/>
            <w:tcBorders>
              <w:top w:val="nil"/>
              <w:left w:val="nil"/>
              <w:bottom w:val="single" w:sz="4" w:space="0" w:color="auto"/>
              <w:right w:val="single" w:sz="4" w:space="0" w:color="auto"/>
            </w:tcBorders>
            <w:shd w:val="clear" w:color="auto" w:fill="auto"/>
            <w:vAlign w:val="bottom"/>
            <w:hideMark/>
          </w:tcPr>
          <w:p w:rsidR="008E1A62" w:rsidRPr="00580D02" w:rsidRDefault="008E1A62" w:rsidP="00D6129F">
            <w:pPr>
              <w:spacing w:after="0" w:line="240" w:lineRule="auto"/>
              <w:jc w:val="center"/>
              <w:rPr>
                <w:rFonts w:eastAsia="Times New Roman" w:cs="Times New Roman"/>
                <w:b/>
                <w:bCs/>
                <w:color w:val="000000"/>
                <w:sz w:val="24"/>
                <w:szCs w:val="24"/>
                <w:lang w:val="en-US"/>
              </w:rPr>
            </w:pPr>
            <w:r w:rsidRPr="00F05F44">
              <w:rPr>
                <w:rFonts w:ascii="Times New Roman" w:eastAsia="Times New Roman" w:hAnsi="Times New Roman" w:cs="Times New Roman"/>
                <w:b/>
                <w:bCs/>
                <w:color w:val="000000"/>
                <w:sz w:val="20"/>
                <w:szCs w:val="20"/>
                <w:lang w:eastAsia="fr-FR"/>
              </w:rPr>
              <w:t xml:space="preserve">130 169 710   </w:t>
            </w:r>
          </w:p>
        </w:tc>
      </w:tr>
    </w:tbl>
    <w:p w:rsidR="00580D02" w:rsidRDefault="00580D02" w:rsidP="00580D02"/>
    <w:p w:rsidR="00493711" w:rsidRDefault="00493711" w:rsidP="00580D02">
      <w:r w:rsidRPr="00493711">
        <w:rPr>
          <w:b/>
        </w:rPr>
        <w:t>Tableau 31 :</w:t>
      </w:r>
      <w:r>
        <w:t xml:space="preserve"> Budget additionnel du Plan d’Elimination de la rougeole 2019-2023, additionnel au PPAC 2016-2020</w:t>
      </w:r>
    </w:p>
    <w:tbl>
      <w:tblPr>
        <w:tblStyle w:val="Grilledutableau"/>
        <w:tblW w:w="11341" w:type="dxa"/>
        <w:tblInd w:w="-998" w:type="dxa"/>
        <w:tblLayout w:type="fixed"/>
        <w:tblLook w:val="04A0" w:firstRow="1" w:lastRow="0" w:firstColumn="1" w:lastColumn="0" w:noHBand="0" w:noVBand="1"/>
      </w:tblPr>
      <w:tblGrid>
        <w:gridCol w:w="1419"/>
        <w:gridCol w:w="2126"/>
        <w:gridCol w:w="1417"/>
        <w:gridCol w:w="1276"/>
        <w:gridCol w:w="1276"/>
        <w:gridCol w:w="1134"/>
        <w:gridCol w:w="1276"/>
        <w:gridCol w:w="1417"/>
      </w:tblGrid>
      <w:tr w:rsidR="00444EFD" w:rsidRPr="00444EFD" w:rsidTr="006B5811">
        <w:trPr>
          <w:trHeight w:val="300"/>
        </w:trPr>
        <w:tc>
          <w:tcPr>
            <w:tcW w:w="11341" w:type="dxa"/>
            <w:gridSpan w:val="8"/>
            <w:noWrap/>
            <w:hideMark/>
          </w:tcPr>
          <w:p w:rsidR="00444EFD" w:rsidRPr="00444EFD" w:rsidRDefault="00444EFD" w:rsidP="00493711">
            <w:pPr>
              <w:spacing w:after="0" w:line="240" w:lineRule="auto"/>
              <w:rPr>
                <w:b/>
                <w:bCs/>
              </w:rPr>
            </w:pPr>
            <w:r w:rsidRPr="00444EFD">
              <w:rPr>
                <w:b/>
                <w:bCs/>
              </w:rPr>
              <w:t xml:space="preserve">Budget Plan </w:t>
            </w:r>
            <w:proofErr w:type="spellStart"/>
            <w:r w:rsidRPr="00444EFD">
              <w:rPr>
                <w:b/>
                <w:bCs/>
              </w:rPr>
              <w:t>d'élimination</w:t>
            </w:r>
            <w:proofErr w:type="spellEnd"/>
            <w:r w:rsidRPr="00444EFD">
              <w:rPr>
                <w:b/>
                <w:bCs/>
              </w:rPr>
              <w:t xml:space="preserve"> de la </w:t>
            </w:r>
            <w:proofErr w:type="spellStart"/>
            <w:r w:rsidRPr="00444EFD">
              <w:rPr>
                <w:b/>
                <w:bCs/>
              </w:rPr>
              <w:t>Rougeole</w:t>
            </w:r>
            <w:proofErr w:type="spellEnd"/>
            <w:r w:rsidRPr="00444EFD">
              <w:rPr>
                <w:b/>
                <w:bCs/>
              </w:rPr>
              <w:t xml:space="preserve"> 2019-2020 </w:t>
            </w:r>
            <w:proofErr w:type="spellStart"/>
            <w:r w:rsidRPr="00444EFD">
              <w:rPr>
                <w:b/>
                <w:bCs/>
              </w:rPr>
              <w:t>Guinée</w:t>
            </w:r>
            <w:proofErr w:type="spellEnd"/>
          </w:p>
        </w:tc>
      </w:tr>
      <w:tr w:rsidR="006B5811" w:rsidRPr="00493711" w:rsidTr="006B5811">
        <w:trPr>
          <w:trHeight w:val="300"/>
        </w:trPr>
        <w:tc>
          <w:tcPr>
            <w:tcW w:w="1419" w:type="dxa"/>
            <w:vMerge w:val="restart"/>
            <w:shd w:val="clear" w:color="auto" w:fill="C45911" w:themeFill="accent2" w:themeFillShade="BF"/>
            <w:noWrap/>
            <w:hideMark/>
          </w:tcPr>
          <w:p w:rsidR="00444EFD" w:rsidRPr="006B5811" w:rsidRDefault="00444EFD" w:rsidP="006B5811">
            <w:pPr>
              <w:spacing w:before="0" w:after="0" w:line="240" w:lineRule="auto"/>
              <w:rPr>
                <w:rFonts w:eastAsia="Times New Roman" w:cs="Times New Roman"/>
                <w:b/>
                <w:bCs/>
                <w:color w:val="FFFFFF"/>
                <w:sz w:val="24"/>
                <w:szCs w:val="24"/>
              </w:rPr>
            </w:pPr>
            <w:proofErr w:type="spellStart"/>
            <w:r w:rsidRPr="006B5811">
              <w:rPr>
                <w:rFonts w:eastAsia="Times New Roman" w:cs="Times New Roman"/>
                <w:b/>
                <w:bCs/>
                <w:color w:val="FFFFFF"/>
                <w:sz w:val="24"/>
                <w:szCs w:val="24"/>
              </w:rPr>
              <w:t>Stratégies</w:t>
            </w:r>
            <w:proofErr w:type="spellEnd"/>
          </w:p>
        </w:tc>
        <w:tc>
          <w:tcPr>
            <w:tcW w:w="2126" w:type="dxa"/>
            <w:vMerge w:val="restart"/>
            <w:shd w:val="clear" w:color="auto" w:fill="C45911" w:themeFill="accent2" w:themeFillShade="BF"/>
            <w:noWrap/>
            <w:hideMark/>
          </w:tcPr>
          <w:p w:rsidR="00444EFD" w:rsidRPr="006B5811" w:rsidRDefault="00444EFD" w:rsidP="006B5811">
            <w:pPr>
              <w:spacing w:before="0" w:after="0" w:line="240" w:lineRule="auto"/>
              <w:rPr>
                <w:rFonts w:eastAsia="Times New Roman" w:cs="Times New Roman"/>
                <w:b/>
                <w:bCs/>
                <w:color w:val="FFFFFF"/>
                <w:sz w:val="24"/>
                <w:szCs w:val="24"/>
              </w:rPr>
            </w:pPr>
            <w:proofErr w:type="spellStart"/>
            <w:r w:rsidRPr="006B5811">
              <w:rPr>
                <w:rFonts w:eastAsia="Times New Roman" w:cs="Times New Roman"/>
                <w:b/>
                <w:bCs/>
                <w:color w:val="FFFFFF"/>
                <w:sz w:val="24"/>
                <w:szCs w:val="24"/>
              </w:rPr>
              <w:t>Activités</w:t>
            </w:r>
            <w:proofErr w:type="spellEnd"/>
          </w:p>
        </w:tc>
        <w:tc>
          <w:tcPr>
            <w:tcW w:w="6379" w:type="dxa"/>
            <w:gridSpan w:val="5"/>
            <w:shd w:val="clear" w:color="auto" w:fill="C45911" w:themeFill="accent2" w:themeFillShade="BF"/>
            <w:noWrap/>
            <w:hideMark/>
          </w:tcPr>
          <w:p w:rsidR="00444EFD" w:rsidRPr="006B5811" w:rsidRDefault="00444EFD" w:rsidP="006B5811">
            <w:pPr>
              <w:spacing w:before="0" w:after="0" w:line="240" w:lineRule="auto"/>
              <w:rPr>
                <w:rFonts w:eastAsia="Times New Roman" w:cs="Times New Roman"/>
                <w:b/>
                <w:bCs/>
                <w:color w:val="FFFFFF"/>
                <w:sz w:val="24"/>
                <w:szCs w:val="24"/>
              </w:rPr>
            </w:pPr>
            <w:r w:rsidRPr="006B5811">
              <w:rPr>
                <w:rFonts w:eastAsia="Times New Roman" w:cs="Times New Roman"/>
                <w:b/>
                <w:bCs/>
                <w:color w:val="FFFFFF"/>
                <w:sz w:val="24"/>
                <w:szCs w:val="24"/>
              </w:rPr>
              <w:t xml:space="preserve">COUT PAR ANNEE </w:t>
            </w:r>
          </w:p>
        </w:tc>
        <w:tc>
          <w:tcPr>
            <w:tcW w:w="1417" w:type="dxa"/>
            <w:vMerge w:val="restart"/>
            <w:shd w:val="clear" w:color="auto" w:fill="C45911" w:themeFill="accent2" w:themeFillShade="BF"/>
            <w:hideMark/>
          </w:tcPr>
          <w:p w:rsidR="00444EFD" w:rsidRPr="006B5811" w:rsidRDefault="006B5811" w:rsidP="00493711">
            <w:pPr>
              <w:spacing w:after="0" w:line="240" w:lineRule="auto"/>
              <w:rPr>
                <w:b/>
                <w:sz w:val="18"/>
              </w:rPr>
            </w:pPr>
            <w:r>
              <w:rPr>
                <w:b/>
                <w:color w:val="FFFFFF" w:themeColor="background1"/>
                <w:sz w:val="18"/>
              </w:rPr>
              <w:t>TOTAL GENERAL EN</w:t>
            </w:r>
            <w:r w:rsidR="00444EFD" w:rsidRPr="006B5811">
              <w:rPr>
                <w:b/>
                <w:color w:val="FFFFFF" w:themeColor="background1"/>
                <w:sz w:val="18"/>
              </w:rPr>
              <w:t xml:space="preserve"> USD</w:t>
            </w:r>
          </w:p>
        </w:tc>
      </w:tr>
      <w:tr w:rsidR="006B5811" w:rsidRPr="00493711" w:rsidTr="006B5811">
        <w:trPr>
          <w:trHeight w:val="300"/>
        </w:trPr>
        <w:tc>
          <w:tcPr>
            <w:tcW w:w="1419" w:type="dxa"/>
            <w:vMerge/>
            <w:shd w:val="clear" w:color="auto" w:fill="C45911" w:themeFill="accent2" w:themeFillShade="BF"/>
            <w:hideMark/>
          </w:tcPr>
          <w:p w:rsidR="00444EFD" w:rsidRPr="006B5811" w:rsidRDefault="00444EFD" w:rsidP="006B5811">
            <w:pPr>
              <w:spacing w:before="0" w:after="0" w:line="240" w:lineRule="auto"/>
              <w:rPr>
                <w:rFonts w:eastAsia="Times New Roman" w:cs="Times New Roman"/>
                <w:b/>
                <w:bCs/>
                <w:color w:val="FFFFFF"/>
                <w:sz w:val="24"/>
                <w:szCs w:val="24"/>
              </w:rPr>
            </w:pPr>
          </w:p>
        </w:tc>
        <w:tc>
          <w:tcPr>
            <w:tcW w:w="2126" w:type="dxa"/>
            <w:vMerge/>
            <w:shd w:val="clear" w:color="auto" w:fill="C45911" w:themeFill="accent2" w:themeFillShade="BF"/>
            <w:hideMark/>
          </w:tcPr>
          <w:p w:rsidR="00444EFD" w:rsidRPr="006B5811" w:rsidRDefault="00444EFD" w:rsidP="006B5811">
            <w:pPr>
              <w:spacing w:before="0" w:after="0" w:line="240" w:lineRule="auto"/>
              <w:rPr>
                <w:rFonts w:eastAsia="Times New Roman" w:cs="Times New Roman"/>
                <w:b/>
                <w:bCs/>
                <w:color w:val="FFFFFF"/>
                <w:sz w:val="24"/>
                <w:szCs w:val="24"/>
              </w:rPr>
            </w:pPr>
          </w:p>
        </w:tc>
        <w:tc>
          <w:tcPr>
            <w:tcW w:w="1417" w:type="dxa"/>
            <w:shd w:val="clear" w:color="auto" w:fill="C45911" w:themeFill="accent2" w:themeFillShade="BF"/>
            <w:noWrap/>
            <w:hideMark/>
          </w:tcPr>
          <w:p w:rsidR="00444EFD" w:rsidRPr="006B5811" w:rsidRDefault="00444EFD" w:rsidP="006B5811">
            <w:pPr>
              <w:spacing w:before="0" w:after="0" w:line="240" w:lineRule="auto"/>
              <w:rPr>
                <w:rFonts w:eastAsia="Times New Roman" w:cs="Times New Roman"/>
                <w:b/>
                <w:bCs/>
                <w:color w:val="FFFFFF"/>
                <w:sz w:val="24"/>
                <w:szCs w:val="24"/>
              </w:rPr>
            </w:pPr>
            <w:r w:rsidRPr="006B5811">
              <w:rPr>
                <w:rFonts w:eastAsia="Times New Roman" w:cs="Times New Roman"/>
                <w:b/>
                <w:bCs/>
                <w:color w:val="FFFFFF"/>
                <w:sz w:val="24"/>
                <w:szCs w:val="24"/>
              </w:rPr>
              <w:t>2019</w:t>
            </w:r>
          </w:p>
        </w:tc>
        <w:tc>
          <w:tcPr>
            <w:tcW w:w="1276" w:type="dxa"/>
            <w:shd w:val="clear" w:color="auto" w:fill="C45911" w:themeFill="accent2" w:themeFillShade="BF"/>
            <w:noWrap/>
            <w:hideMark/>
          </w:tcPr>
          <w:p w:rsidR="00444EFD" w:rsidRPr="006B5811" w:rsidRDefault="00444EFD" w:rsidP="006B5811">
            <w:pPr>
              <w:spacing w:before="0" w:after="0" w:line="240" w:lineRule="auto"/>
              <w:rPr>
                <w:rFonts w:eastAsia="Times New Roman" w:cs="Times New Roman"/>
                <w:b/>
                <w:bCs/>
                <w:color w:val="FFFFFF"/>
                <w:sz w:val="24"/>
                <w:szCs w:val="24"/>
              </w:rPr>
            </w:pPr>
            <w:r w:rsidRPr="006B5811">
              <w:rPr>
                <w:rFonts w:eastAsia="Times New Roman" w:cs="Times New Roman"/>
                <w:b/>
                <w:bCs/>
                <w:color w:val="FFFFFF"/>
                <w:sz w:val="24"/>
                <w:szCs w:val="24"/>
              </w:rPr>
              <w:t>2020</w:t>
            </w:r>
          </w:p>
        </w:tc>
        <w:tc>
          <w:tcPr>
            <w:tcW w:w="1276" w:type="dxa"/>
            <w:shd w:val="clear" w:color="auto" w:fill="C45911" w:themeFill="accent2" w:themeFillShade="BF"/>
            <w:noWrap/>
            <w:hideMark/>
          </w:tcPr>
          <w:p w:rsidR="00444EFD" w:rsidRPr="006B5811" w:rsidRDefault="00444EFD" w:rsidP="006B5811">
            <w:pPr>
              <w:spacing w:before="0" w:after="0" w:line="240" w:lineRule="auto"/>
              <w:rPr>
                <w:rFonts w:eastAsia="Times New Roman" w:cs="Times New Roman"/>
                <w:b/>
                <w:bCs/>
                <w:color w:val="FFFFFF"/>
                <w:sz w:val="24"/>
                <w:szCs w:val="24"/>
              </w:rPr>
            </w:pPr>
            <w:r w:rsidRPr="006B5811">
              <w:rPr>
                <w:rFonts w:eastAsia="Times New Roman" w:cs="Times New Roman"/>
                <w:b/>
                <w:bCs/>
                <w:color w:val="FFFFFF"/>
                <w:sz w:val="24"/>
                <w:szCs w:val="24"/>
              </w:rPr>
              <w:t>2021</w:t>
            </w:r>
          </w:p>
        </w:tc>
        <w:tc>
          <w:tcPr>
            <w:tcW w:w="1134" w:type="dxa"/>
            <w:shd w:val="clear" w:color="auto" w:fill="C45911" w:themeFill="accent2" w:themeFillShade="BF"/>
            <w:noWrap/>
            <w:hideMark/>
          </w:tcPr>
          <w:p w:rsidR="00444EFD" w:rsidRPr="006B5811" w:rsidRDefault="00444EFD" w:rsidP="006B5811">
            <w:pPr>
              <w:spacing w:before="0" w:after="0" w:line="240" w:lineRule="auto"/>
              <w:rPr>
                <w:rFonts w:eastAsia="Times New Roman" w:cs="Times New Roman"/>
                <w:b/>
                <w:bCs/>
                <w:color w:val="FFFFFF"/>
                <w:sz w:val="24"/>
                <w:szCs w:val="24"/>
              </w:rPr>
            </w:pPr>
            <w:r w:rsidRPr="006B5811">
              <w:rPr>
                <w:rFonts w:eastAsia="Times New Roman" w:cs="Times New Roman"/>
                <w:b/>
                <w:bCs/>
                <w:color w:val="FFFFFF"/>
                <w:sz w:val="24"/>
                <w:szCs w:val="24"/>
              </w:rPr>
              <w:t>2022</w:t>
            </w:r>
          </w:p>
        </w:tc>
        <w:tc>
          <w:tcPr>
            <w:tcW w:w="1276" w:type="dxa"/>
            <w:shd w:val="clear" w:color="auto" w:fill="C45911" w:themeFill="accent2" w:themeFillShade="BF"/>
            <w:noWrap/>
            <w:hideMark/>
          </w:tcPr>
          <w:p w:rsidR="00444EFD" w:rsidRPr="006B5811" w:rsidRDefault="00444EFD" w:rsidP="006B5811">
            <w:pPr>
              <w:spacing w:before="0" w:after="0" w:line="240" w:lineRule="auto"/>
              <w:rPr>
                <w:rFonts w:eastAsia="Times New Roman" w:cs="Times New Roman"/>
                <w:b/>
                <w:bCs/>
                <w:color w:val="FFFFFF"/>
                <w:sz w:val="24"/>
                <w:szCs w:val="24"/>
              </w:rPr>
            </w:pPr>
            <w:r w:rsidRPr="006B5811">
              <w:rPr>
                <w:rFonts w:eastAsia="Times New Roman" w:cs="Times New Roman"/>
                <w:b/>
                <w:bCs/>
                <w:color w:val="FFFFFF"/>
                <w:sz w:val="24"/>
                <w:szCs w:val="24"/>
              </w:rPr>
              <w:t>2023</w:t>
            </w:r>
          </w:p>
        </w:tc>
        <w:tc>
          <w:tcPr>
            <w:tcW w:w="1417" w:type="dxa"/>
            <w:vMerge/>
            <w:shd w:val="clear" w:color="auto" w:fill="C45911" w:themeFill="accent2" w:themeFillShade="BF"/>
            <w:hideMark/>
          </w:tcPr>
          <w:p w:rsidR="00444EFD" w:rsidRPr="00493711" w:rsidRDefault="00444EFD" w:rsidP="00493711">
            <w:pPr>
              <w:spacing w:after="0" w:line="240" w:lineRule="auto"/>
              <w:rPr>
                <w:sz w:val="18"/>
              </w:rPr>
            </w:pPr>
          </w:p>
        </w:tc>
      </w:tr>
      <w:tr w:rsidR="001D3711" w:rsidRPr="00493711" w:rsidTr="006B5811">
        <w:trPr>
          <w:trHeight w:val="793"/>
        </w:trPr>
        <w:tc>
          <w:tcPr>
            <w:tcW w:w="1419" w:type="dxa"/>
            <w:vMerge w:val="restart"/>
            <w:hideMark/>
          </w:tcPr>
          <w:p w:rsidR="00444EFD" w:rsidRPr="00493711" w:rsidRDefault="00444EFD" w:rsidP="00493711">
            <w:pPr>
              <w:spacing w:after="0" w:line="240" w:lineRule="auto"/>
              <w:rPr>
                <w:sz w:val="18"/>
              </w:rPr>
            </w:pPr>
            <w:proofErr w:type="spellStart"/>
            <w:r w:rsidRPr="00493711">
              <w:rPr>
                <w:sz w:val="18"/>
              </w:rPr>
              <w:t>Renforcement</w:t>
            </w:r>
            <w:proofErr w:type="spellEnd"/>
            <w:r w:rsidRPr="00493711">
              <w:rPr>
                <w:sz w:val="18"/>
              </w:rPr>
              <w:t xml:space="preserve"> du PEV de routine</w:t>
            </w:r>
          </w:p>
        </w:tc>
        <w:tc>
          <w:tcPr>
            <w:tcW w:w="2126" w:type="dxa"/>
            <w:hideMark/>
          </w:tcPr>
          <w:p w:rsidR="00444EFD" w:rsidRPr="00493711" w:rsidRDefault="00444EFD" w:rsidP="00493711">
            <w:pPr>
              <w:spacing w:after="0" w:line="240" w:lineRule="auto"/>
              <w:rPr>
                <w:sz w:val="18"/>
              </w:rPr>
            </w:pPr>
            <w:proofErr w:type="spellStart"/>
            <w:r w:rsidRPr="00493711">
              <w:rPr>
                <w:sz w:val="18"/>
              </w:rPr>
              <w:t>Organiser</w:t>
            </w:r>
            <w:proofErr w:type="spellEnd"/>
            <w:r w:rsidRPr="00493711">
              <w:rPr>
                <w:sz w:val="18"/>
              </w:rPr>
              <w:t xml:space="preserve"> des </w:t>
            </w:r>
            <w:proofErr w:type="spellStart"/>
            <w:r w:rsidRPr="00493711">
              <w:rPr>
                <w:sz w:val="18"/>
              </w:rPr>
              <w:t>activités</w:t>
            </w:r>
            <w:proofErr w:type="spellEnd"/>
            <w:r w:rsidRPr="00493711">
              <w:rPr>
                <w:sz w:val="18"/>
              </w:rPr>
              <w:t xml:space="preserve"> de vaccination </w:t>
            </w:r>
            <w:proofErr w:type="spellStart"/>
            <w:r w:rsidRPr="00493711">
              <w:rPr>
                <w:sz w:val="18"/>
              </w:rPr>
              <w:t>intensifiées</w:t>
            </w:r>
            <w:proofErr w:type="spellEnd"/>
            <w:r w:rsidRPr="00493711">
              <w:rPr>
                <w:sz w:val="18"/>
              </w:rPr>
              <w:t xml:space="preserve"> (AVI): SAV/SSME</w:t>
            </w:r>
          </w:p>
        </w:tc>
        <w:tc>
          <w:tcPr>
            <w:tcW w:w="1417" w:type="dxa"/>
            <w:noWrap/>
            <w:hideMark/>
          </w:tcPr>
          <w:p w:rsidR="00444EFD" w:rsidRPr="00493711" w:rsidRDefault="00444EFD" w:rsidP="00493711">
            <w:pPr>
              <w:spacing w:after="0" w:line="240" w:lineRule="auto"/>
              <w:rPr>
                <w:sz w:val="18"/>
              </w:rPr>
            </w:pPr>
            <w:r w:rsidRPr="00493711">
              <w:rPr>
                <w:sz w:val="18"/>
              </w:rPr>
              <w:t>$312 000</w:t>
            </w:r>
          </w:p>
        </w:tc>
        <w:tc>
          <w:tcPr>
            <w:tcW w:w="1276" w:type="dxa"/>
            <w:noWrap/>
            <w:hideMark/>
          </w:tcPr>
          <w:p w:rsidR="00444EFD" w:rsidRPr="00493711" w:rsidRDefault="00444EFD" w:rsidP="00493711">
            <w:pPr>
              <w:spacing w:after="0" w:line="240" w:lineRule="auto"/>
              <w:rPr>
                <w:sz w:val="18"/>
              </w:rPr>
            </w:pPr>
            <w:r w:rsidRPr="00493711">
              <w:rPr>
                <w:sz w:val="18"/>
              </w:rPr>
              <w:t>$343 200</w:t>
            </w:r>
          </w:p>
        </w:tc>
        <w:tc>
          <w:tcPr>
            <w:tcW w:w="1276" w:type="dxa"/>
            <w:noWrap/>
            <w:hideMark/>
          </w:tcPr>
          <w:p w:rsidR="00444EFD" w:rsidRPr="00493711" w:rsidRDefault="00444EFD" w:rsidP="00493711">
            <w:pPr>
              <w:spacing w:after="0" w:line="240" w:lineRule="auto"/>
              <w:rPr>
                <w:sz w:val="18"/>
              </w:rPr>
            </w:pPr>
            <w:r w:rsidRPr="00493711">
              <w:rPr>
                <w:sz w:val="18"/>
              </w:rPr>
              <w:t>$377 520</w:t>
            </w:r>
          </w:p>
        </w:tc>
        <w:tc>
          <w:tcPr>
            <w:tcW w:w="1134" w:type="dxa"/>
            <w:noWrap/>
            <w:hideMark/>
          </w:tcPr>
          <w:p w:rsidR="00444EFD" w:rsidRPr="00493711" w:rsidRDefault="00444EFD" w:rsidP="00493711">
            <w:pPr>
              <w:spacing w:after="0" w:line="240" w:lineRule="auto"/>
              <w:rPr>
                <w:sz w:val="18"/>
              </w:rPr>
            </w:pPr>
            <w:r w:rsidRPr="00493711">
              <w:rPr>
                <w:sz w:val="18"/>
              </w:rPr>
              <w:t>$415 272</w:t>
            </w:r>
          </w:p>
        </w:tc>
        <w:tc>
          <w:tcPr>
            <w:tcW w:w="1276" w:type="dxa"/>
            <w:noWrap/>
            <w:hideMark/>
          </w:tcPr>
          <w:p w:rsidR="00444EFD" w:rsidRPr="00493711" w:rsidRDefault="00444EFD" w:rsidP="00493711">
            <w:pPr>
              <w:spacing w:after="0" w:line="240" w:lineRule="auto"/>
              <w:rPr>
                <w:sz w:val="18"/>
              </w:rPr>
            </w:pPr>
            <w:r w:rsidRPr="00493711">
              <w:rPr>
                <w:sz w:val="18"/>
              </w:rPr>
              <w:t>$456 799</w:t>
            </w:r>
          </w:p>
        </w:tc>
        <w:tc>
          <w:tcPr>
            <w:tcW w:w="1417" w:type="dxa"/>
            <w:noWrap/>
            <w:hideMark/>
          </w:tcPr>
          <w:p w:rsidR="00444EFD" w:rsidRPr="00493711" w:rsidRDefault="00444EFD" w:rsidP="00493711">
            <w:pPr>
              <w:spacing w:after="0" w:line="240" w:lineRule="auto"/>
              <w:rPr>
                <w:sz w:val="18"/>
              </w:rPr>
            </w:pPr>
            <w:r w:rsidRPr="00493711">
              <w:rPr>
                <w:sz w:val="18"/>
              </w:rPr>
              <w:t>$1 904 791</w:t>
            </w:r>
          </w:p>
        </w:tc>
      </w:tr>
      <w:tr w:rsidR="00287A30" w:rsidRPr="00493711" w:rsidTr="006B5811">
        <w:trPr>
          <w:trHeight w:val="300"/>
        </w:trPr>
        <w:tc>
          <w:tcPr>
            <w:tcW w:w="1419" w:type="dxa"/>
            <w:vMerge/>
            <w:hideMark/>
          </w:tcPr>
          <w:p w:rsidR="00444EFD" w:rsidRPr="00493711" w:rsidRDefault="00444EFD" w:rsidP="00493711">
            <w:pPr>
              <w:spacing w:after="0" w:line="240" w:lineRule="auto"/>
              <w:rPr>
                <w:sz w:val="18"/>
              </w:rPr>
            </w:pPr>
          </w:p>
        </w:tc>
        <w:tc>
          <w:tcPr>
            <w:tcW w:w="2126" w:type="dxa"/>
            <w:noWrap/>
            <w:hideMark/>
          </w:tcPr>
          <w:p w:rsidR="00444EFD" w:rsidRPr="00493711" w:rsidRDefault="00444EFD" w:rsidP="00493711">
            <w:pPr>
              <w:spacing w:after="0" w:line="240" w:lineRule="auto"/>
              <w:rPr>
                <w:sz w:val="18"/>
              </w:rPr>
            </w:pPr>
            <w:proofErr w:type="spellStart"/>
            <w:r w:rsidRPr="00493711">
              <w:rPr>
                <w:sz w:val="18"/>
              </w:rPr>
              <w:t>Introduire</w:t>
            </w:r>
            <w:proofErr w:type="spellEnd"/>
            <w:r w:rsidRPr="00493711">
              <w:rPr>
                <w:sz w:val="18"/>
              </w:rPr>
              <w:t xml:space="preserve"> la 2éme dose de VAR</w:t>
            </w:r>
          </w:p>
        </w:tc>
        <w:tc>
          <w:tcPr>
            <w:tcW w:w="1417" w:type="dxa"/>
            <w:noWrap/>
            <w:hideMark/>
          </w:tcPr>
          <w:p w:rsidR="00444EFD" w:rsidRPr="00493711" w:rsidRDefault="00444EFD" w:rsidP="00493711">
            <w:pPr>
              <w:spacing w:after="0" w:line="240" w:lineRule="auto"/>
              <w:rPr>
                <w:sz w:val="18"/>
              </w:rPr>
            </w:pPr>
            <w:r w:rsidRPr="00493711">
              <w:rPr>
                <w:sz w:val="18"/>
              </w:rPr>
              <w:t>$329 910</w:t>
            </w:r>
          </w:p>
        </w:tc>
        <w:tc>
          <w:tcPr>
            <w:tcW w:w="1276" w:type="dxa"/>
            <w:noWrap/>
            <w:hideMark/>
          </w:tcPr>
          <w:p w:rsidR="00444EFD" w:rsidRPr="00493711" w:rsidRDefault="00444EFD" w:rsidP="00493711">
            <w:pPr>
              <w:spacing w:after="0" w:line="240" w:lineRule="auto"/>
              <w:rPr>
                <w:sz w:val="18"/>
              </w:rPr>
            </w:pPr>
            <w:r w:rsidRPr="00493711">
              <w:rPr>
                <w:sz w:val="18"/>
              </w:rPr>
              <w:t> </w:t>
            </w:r>
          </w:p>
        </w:tc>
        <w:tc>
          <w:tcPr>
            <w:tcW w:w="1276" w:type="dxa"/>
            <w:noWrap/>
            <w:hideMark/>
          </w:tcPr>
          <w:p w:rsidR="00444EFD" w:rsidRPr="00493711" w:rsidRDefault="00444EFD" w:rsidP="00493711">
            <w:pPr>
              <w:spacing w:after="0" w:line="240" w:lineRule="auto"/>
              <w:rPr>
                <w:sz w:val="18"/>
              </w:rPr>
            </w:pPr>
            <w:r w:rsidRPr="00493711">
              <w:rPr>
                <w:sz w:val="18"/>
              </w:rPr>
              <w:t> </w:t>
            </w:r>
          </w:p>
        </w:tc>
        <w:tc>
          <w:tcPr>
            <w:tcW w:w="1134" w:type="dxa"/>
            <w:noWrap/>
            <w:hideMark/>
          </w:tcPr>
          <w:p w:rsidR="00444EFD" w:rsidRPr="00493711" w:rsidRDefault="00444EFD" w:rsidP="00493711">
            <w:pPr>
              <w:spacing w:after="0" w:line="240" w:lineRule="auto"/>
              <w:rPr>
                <w:sz w:val="18"/>
              </w:rPr>
            </w:pPr>
            <w:r w:rsidRPr="00493711">
              <w:rPr>
                <w:sz w:val="18"/>
              </w:rPr>
              <w:t> </w:t>
            </w:r>
          </w:p>
        </w:tc>
        <w:tc>
          <w:tcPr>
            <w:tcW w:w="1276" w:type="dxa"/>
            <w:noWrap/>
            <w:hideMark/>
          </w:tcPr>
          <w:p w:rsidR="00444EFD" w:rsidRPr="00493711" w:rsidRDefault="00444EFD" w:rsidP="00493711">
            <w:pPr>
              <w:spacing w:after="0" w:line="240" w:lineRule="auto"/>
              <w:rPr>
                <w:sz w:val="18"/>
              </w:rPr>
            </w:pPr>
            <w:r w:rsidRPr="00493711">
              <w:rPr>
                <w:sz w:val="18"/>
              </w:rPr>
              <w:t> </w:t>
            </w:r>
          </w:p>
        </w:tc>
        <w:tc>
          <w:tcPr>
            <w:tcW w:w="1417" w:type="dxa"/>
            <w:noWrap/>
            <w:hideMark/>
          </w:tcPr>
          <w:p w:rsidR="00444EFD" w:rsidRPr="00493711" w:rsidRDefault="00444EFD" w:rsidP="00493711">
            <w:pPr>
              <w:spacing w:after="0" w:line="240" w:lineRule="auto"/>
              <w:rPr>
                <w:sz w:val="18"/>
              </w:rPr>
            </w:pPr>
            <w:r w:rsidRPr="00493711">
              <w:rPr>
                <w:sz w:val="18"/>
              </w:rPr>
              <w:t>$329 910</w:t>
            </w:r>
          </w:p>
        </w:tc>
      </w:tr>
      <w:tr w:rsidR="00287A30"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Introduire</w:t>
            </w:r>
            <w:proofErr w:type="spellEnd"/>
            <w:r w:rsidRPr="00287A30">
              <w:rPr>
                <w:sz w:val="18"/>
              </w:rPr>
              <w:t xml:space="preserve"> le RR</w:t>
            </w:r>
          </w:p>
        </w:tc>
        <w:tc>
          <w:tcPr>
            <w:tcW w:w="1417"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$362 901</w:t>
            </w:r>
          </w:p>
        </w:tc>
        <w:tc>
          <w:tcPr>
            <w:tcW w:w="1276" w:type="dxa"/>
            <w:noWrap/>
            <w:vAlign w:val="center"/>
            <w:hideMark/>
          </w:tcPr>
          <w:p w:rsidR="00444EFD" w:rsidRPr="00287A30" w:rsidRDefault="00444EFD" w:rsidP="00493711">
            <w:pPr>
              <w:spacing w:after="0" w:line="240" w:lineRule="auto"/>
              <w:jc w:val="center"/>
              <w:rPr>
                <w:sz w:val="18"/>
              </w:rPr>
            </w:pPr>
          </w:p>
        </w:tc>
        <w:tc>
          <w:tcPr>
            <w:tcW w:w="1134"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$362 901</w:t>
            </w:r>
          </w:p>
        </w:tc>
      </w:tr>
      <w:tr w:rsidR="001D3711" w:rsidRPr="00444EFD" w:rsidTr="006B5811">
        <w:trPr>
          <w:trHeight w:val="12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proofErr w:type="spellStart"/>
            <w:r w:rsidRPr="00287A30">
              <w:rPr>
                <w:sz w:val="18"/>
              </w:rPr>
              <w:t>Appuyer</w:t>
            </w:r>
            <w:proofErr w:type="spellEnd"/>
            <w:r w:rsidRPr="00287A30">
              <w:rPr>
                <w:sz w:val="18"/>
              </w:rPr>
              <w:t xml:space="preserve"> les districts </w:t>
            </w:r>
            <w:proofErr w:type="spellStart"/>
            <w:r w:rsidRPr="00287A30">
              <w:rPr>
                <w:sz w:val="18"/>
              </w:rPr>
              <w:t>sanitaires</w:t>
            </w:r>
            <w:proofErr w:type="spellEnd"/>
            <w:r w:rsidRPr="00287A30">
              <w:rPr>
                <w:sz w:val="18"/>
              </w:rPr>
              <w:t xml:space="preserve"> à </w:t>
            </w:r>
            <w:proofErr w:type="spellStart"/>
            <w:r w:rsidRPr="00287A30">
              <w:rPr>
                <w:sz w:val="18"/>
              </w:rPr>
              <w:t>faible</w:t>
            </w:r>
            <w:proofErr w:type="spellEnd"/>
            <w:r w:rsidRPr="00287A30">
              <w:rPr>
                <w:sz w:val="18"/>
              </w:rPr>
              <w:t xml:space="preserve"> performance : Vaccinations de </w:t>
            </w:r>
            <w:proofErr w:type="spellStart"/>
            <w:r w:rsidRPr="00287A30">
              <w:rPr>
                <w:sz w:val="18"/>
              </w:rPr>
              <w:t>rattrapage</w:t>
            </w:r>
            <w:proofErr w:type="spellEnd"/>
            <w:r w:rsidRPr="00287A30">
              <w:rPr>
                <w:sz w:val="18"/>
              </w:rPr>
              <w:t xml:space="preserve"> pour les </w:t>
            </w:r>
            <w:proofErr w:type="spellStart"/>
            <w:r w:rsidRPr="00287A30">
              <w:rPr>
                <w:sz w:val="18"/>
              </w:rPr>
              <w:t>groupes</w:t>
            </w:r>
            <w:proofErr w:type="spellEnd"/>
            <w:r w:rsidRPr="00287A30">
              <w:rPr>
                <w:sz w:val="18"/>
              </w:rPr>
              <w:t xml:space="preserve"> </w:t>
            </w:r>
            <w:proofErr w:type="spellStart"/>
            <w:r w:rsidRPr="00287A30">
              <w:rPr>
                <w:sz w:val="18"/>
              </w:rPr>
              <w:t>d’âge</w:t>
            </w:r>
            <w:proofErr w:type="spellEnd"/>
            <w:r w:rsidRPr="00287A30">
              <w:rPr>
                <w:sz w:val="18"/>
              </w:rPr>
              <w:t xml:space="preserve"> </w:t>
            </w:r>
            <w:proofErr w:type="spellStart"/>
            <w:r w:rsidRPr="00287A30">
              <w:rPr>
                <w:sz w:val="18"/>
              </w:rPr>
              <w:t>insuffisamment</w:t>
            </w:r>
            <w:proofErr w:type="spellEnd"/>
            <w:r w:rsidRPr="00287A30">
              <w:rPr>
                <w:sz w:val="18"/>
              </w:rPr>
              <w:t xml:space="preserve"> protégés et les </w:t>
            </w:r>
            <w:proofErr w:type="spellStart"/>
            <w:r w:rsidRPr="00287A30">
              <w:rPr>
                <w:sz w:val="18"/>
              </w:rPr>
              <w:t>groupes</w:t>
            </w:r>
            <w:proofErr w:type="spellEnd"/>
            <w:r w:rsidRPr="00287A30">
              <w:rPr>
                <w:sz w:val="18"/>
              </w:rPr>
              <w:t xml:space="preserve"> à </w:t>
            </w:r>
            <w:proofErr w:type="spellStart"/>
            <w:r w:rsidRPr="00287A30">
              <w:rPr>
                <w:sz w:val="18"/>
              </w:rPr>
              <w:t>risque</w:t>
            </w:r>
            <w:proofErr w:type="spellEnd"/>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$150 000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$165 000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$181 500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$199 650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$219 615</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$915 765</w:t>
            </w:r>
          </w:p>
        </w:tc>
      </w:tr>
      <w:tr w:rsidR="001D3711" w:rsidRPr="00444EFD" w:rsidTr="006B5811">
        <w:trPr>
          <w:trHeight w:val="9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proofErr w:type="spellStart"/>
            <w:r w:rsidRPr="00287A30">
              <w:rPr>
                <w:sz w:val="18"/>
              </w:rPr>
              <w:t>Renforcer</w:t>
            </w:r>
            <w:proofErr w:type="spellEnd"/>
            <w:r w:rsidRPr="00287A30">
              <w:rPr>
                <w:sz w:val="18"/>
              </w:rPr>
              <w:t xml:space="preserve"> les </w:t>
            </w:r>
            <w:proofErr w:type="spellStart"/>
            <w:r w:rsidRPr="00287A30">
              <w:rPr>
                <w:sz w:val="18"/>
              </w:rPr>
              <w:t>activités</w:t>
            </w:r>
            <w:proofErr w:type="spellEnd"/>
            <w:r w:rsidRPr="00287A30">
              <w:rPr>
                <w:sz w:val="18"/>
              </w:rPr>
              <w:t xml:space="preserve"> de communication en </w:t>
            </w:r>
            <w:proofErr w:type="spellStart"/>
            <w:r w:rsidRPr="00287A30">
              <w:rPr>
                <w:sz w:val="18"/>
              </w:rPr>
              <w:t>faveur</w:t>
            </w:r>
            <w:proofErr w:type="spellEnd"/>
            <w:r w:rsidRPr="00287A30">
              <w:rPr>
                <w:sz w:val="18"/>
              </w:rPr>
              <w:t xml:space="preserve"> de la vaccination de routine (</w:t>
            </w:r>
            <w:proofErr w:type="spellStart"/>
            <w:r w:rsidRPr="00287A30">
              <w:rPr>
                <w:sz w:val="18"/>
              </w:rPr>
              <w:t>Optimiser</w:t>
            </w:r>
            <w:proofErr w:type="spellEnd"/>
            <w:r w:rsidRPr="00287A30">
              <w:rPr>
                <w:sz w:val="18"/>
              </w:rPr>
              <w:t xml:space="preserve"> le </w:t>
            </w:r>
            <w:proofErr w:type="spellStart"/>
            <w:r w:rsidRPr="00287A30">
              <w:rPr>
                <w:sz w:val="18"/>
              </w:rPr>
              <w:t>calendrier</w:t>
            </w:r>
            <w:proofErr w:type="spellEnd"/>
            <w:r w:rsidRPr="00287A30">
              <w:rPr>
                <w:sz w:val="18"/>
              </w:rPr>
              <w:t xml:space="preserve"> </w:t>
            </w:r>
            <w:proofErr w:type="spellStart"/>
            <w:r w:rsidRPr="00287A30">
              <w:rPr>
                <w:sz w:val="18"/>
              </w:rPr>
              <w:t>vaccinal</w:t>
            </w:r>
            <w:proofErr w:type="spellEnd"/>
            <w:r w:rsidRPr="00287A30">
              <w:rPr>
                <w:sz w:val="18"/>
              </w:rPr>
              <w:t>…)</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$16 500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$18 150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$19 965</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$21 962</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$91 577</w:t>
            </w:r>
          </w:p>
        </w:tc>
      </w:tr>
      <w:tr w:rsidR="001D3711"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b/>
                <w:bCs/>
                <w:sz w:val="18"/>
              </w:rPr>
            </w:pPr>
            <w:r w:rsidRPr="00287A30">
              <w:rPr>
                <w:b/>
                <w:bCs/>
                <w:sz w:val="18"/>
              </w:rPr>
              <w:t>Sous-Total</w:t>
            </w:r>
          </w:p>
        </w:tc>
        <w:tc>
          <w:tcPr>
            <w:tcW w:w="1417" w:type="dxa"/>
            <w:noWrap/>
            <w:vAlign w:val="center"/>
            <w:hideMark/>
          </w:tcPr>
          <w:p w:rsidR="00444EFD" w:rsidRPr="00287A30" w:rsidRDefault="00444EFD" w:rsidP="00493711">
            <w:pPr>
              <w:spacing w:after="0" w:line="240" w:lineRule="auto"/>
              <w:jc w:val="center"/>
              <w:rPr>
                <w:b/>
                <w:bCs/>
                <w:sz w:val="18"/>
              </w:rPr>
            </w:pPr>
            <w:r w:rsidRPr="00287A30">
              <w:rPr>
                <w:b/>
                <w:bCs/>
                <w:sz w:val="18"/>
              </w:rPr>
              <w:t>$806 910</w:t>
            </w:r>
          </w:p>
        </w:tc>
        <w:tc>
          <w:tcPr>
            <w:tcW w:w="1276" w:type="dxa"/>
            <w:noWrap/>
            <w:vAlign w:val="center"/>
            <w:hideMark/>
          </w:tcPr>
          <w:p w:rsidR="00444EFD" w:rsidRPr="00287A30" w:rsidRDefault="00444EFD" w:rsidP="00493711">
            <w:pPr>
              <w:spacing w:after="0" w:line="240" w:lineRule="auto"/>
              <w:jc w:val="center"/>
              <w:rPr>
                <w:b/>
                <w:bCs/>
                <w:sz w:val="18"/>
              </w:rPr>
            </w:pPr>
            <w:r w:rsidRPr="00287A30">
              <w:rPr>
                <w:b/>
                <w:bCs/>
                <w:sz w:val="18"/>
              </w:rPr>
              <w:t>$887 601</w:t>
            </w:r>
          </w:p>
        </w:tc>
        <w:tc>
          <w:tcPr>
            <w:tcW w:w="1276" w:type="dxa"/>
            <w:noWrap/>
            <w:vAlign w:val="center"/>
            <w:hideMark/>
          </w:tcPr>
          <w:p w:rsidR="00444EFD" w:rsidRPr="00287A30" w:rsidRDefault="00444EFD" w:rsidP="00493711">
            <w:pPr>
              <w:spacing w:after="0" w:line="240" w:lineRule="auto"/>
              <w:jc w:val="center"/>
              <w:rPr>
                <w:b/>
                <w:bCs/>
                <w:sz w:val="18"/>
              </w:rPr>
            </w:pPr>
            <w:r w:rsidRPr="00287A30">
              <w:rPr>
                <w:b/>
                <w:bCs/>
                <w:sz w:val="18"/>
              </w:rPr>
              <w:t>$577 170</w:t>
            </w:r>
          </w:p>
        </w:tc>
        <w:tc>
          <w:tcPr>
            <w:tcW w:w="1134" w:type="dxa"/>
            <w:noWrap/>
            <w:vAlign w:val="center"/>
            <w:hideMark/>
          </w:tcPr>
          <w:p w:rsidR="00444EFD" w:rsidRPr="00287A30" w:rsidRDefault="00444EFD" w:rsidP="00493711">
            <w:pPr>
              <w:spacing w:after="0" w:line="240" w:lineRule="auto"/>
              <w:jc w:val="center"/>
              <w:rPr>
                <w:b/>
                <w:bCs/>
                <w:sz w:val="18"/>
              </w:rPr>
            </w:pPr>
            <w:r w:rsidRPr="00287A30">
              <w:rPr>
                <w:b/>
                <w:bCs/>
                <w:sz w:val="18"/>
              </w:rPr>
              <w:t>$634 887</w:t>
            </w:r>
          </w:p>
        </w:tc>
        <w:tc>
          <w:tcPr>
            <w:tcW w:w="1276" w:type="dxa"/>
            <w:noWrap/>
            <w:vAlign w:val="center"/>
            <w:hideMark/>
          </w:tcPr>
          <w:p w:rsidR="00444EFD" w:rsidRPr="00287A30" w:rsidRDefault="00444EFD" w:rsidP="00493711">
            <w:pPr>
              <w:spacing w:after="0" w:line="240" w:lineRule="auto"/>
              <w:jc w:val="center"/>
              <w:rPr>
                <w:b/>
                <w:bCs/>
                <w:sz w:val="18"/>
              </w:rPr>
            </w:pPr>
            <w:r w:rsidRPr="00287A30">
              <w:rPr>
                <w:b/>
                <w:bCs/>
                <w:sz w:val="18"/>
              </w:rPr>
              <w:t>$698 376</w:t>
            </w:r>
          </w:p>
        </w:tc>
        <w:tc>
          <w:tcPr>
            <w:tcW w:w="1417" w:type="dxa"/>
            <w:noWrap/>
            <w:vAlign w:val="center"/>
            <w:hideMark/>
          </w:tcPr>
          <w:p w:rsidR="00444EFD" w:rsidRPr="00287A30" w:rsidRDefault="00444EFD" w:rsidP="00493711">
            <w:pPr>
              <w:spacing w:after="0" w:line="240" w:lineRule="auto"/>
              <w:jc w:val="center"/>
              <w:rPr>
                <w:b/>
                <w:bCs/>
                <w:sz w:val="18"/>
              </w:rPr>
            </w:pPr>
            <w:r w:rsidRPr="00287A30">
              <w:rPr>
                <w:b/>
                <w:bCs/>
                <w:sz w:val="18"/>
              </w:rPr>
              <w:t>$3 604 944</w:t>
            </w:r>
          </w:p>
        </w:tc>
      </w:tr>
      <w:tr w:rsidR="004B2219" w:rsidRPr="00444EFD" w:rsidTr="006B5811">
        <w:trPr>
          <w:trHeight w:val="300"/>
        </w:trPr>
        <w:tc>
          <w:tcPr>
            <w:tcW w:w="1419" w:type="dxa"/>
            <w:vMerge w:val="restart"/>
            <w:hideMark/>
          </w:tcPr>
          <w:p w:rsidR="001D3711" w:rsidRDefault="001D3711" w:rsidP="00493711">
            <w:pPr>
              <w:spacing w:after="0" w:line="240" w:lineRule="auto"/>
            </w:pPr>
          </w:p>
          <w:p w:rsidR="001D3711" w:rsidRDefault="001D3711" w:rsidP="00493711">
            <w:pPr>
              <w:spacing w:after="0" w:line="240" w:lineRule="auto"/>
            </w:pPr>
          </w:p>
          <w:p w:rsidR="001D3711" w:rsidRDefault="001D3711" w:rsidP="00493711">
            <w:pPr>
              <w:spacing w:after="0" w:line="240" w:lineRule="auto"/>
            </w:pPr>
          </w:p>
          <w:p w:rsidR="001D3711" w:rsidRDefault="001D3711" w:rsidP="00493711">
            <w:pPr>
              <w:spacing w:after="0" w:line="240" w:lineRule="auto"/>
            </w:pPr>
          </w:p>
          <w:p w:rsidR="001D3711" w:rsidRDefault="001D3711" w:rsidP="00493711">
            <w:pPr>
              <w:spacing w:after="0" w:line="240" w:lineRule="auto"/>
            </w:pPr>
          </w:p>
          <w:p w:rsidR="001D3711" w:rsidRDefault="001D3711" w:rsidP="00493711">
            <w:pPr>
              <w:spacing w:after="0" w:line="240" w:lineRule="auto"/>
            </w:pPr>
          </w:p>
          <w:p w:rsidR="00444EFD" w:rsidRPr="00444EFD" w:rsidRDefault="00444EFD" w:rsidP="00493711">
            <w:pPr>
              <w:spacing w:after="0" w:line="240" w:lineRule="auto"/>
            </w:pPr>
            <w:r w:rsidRPr="00444EFD">
              <w:t xml:space="preserve">Surveillance </w:t>
            </w:r>
            <w:proofErr w:type="spellStart"/>
            <w:r w:rsidRPr="00444EFD">
              <w:t>epidemiologique</w:t>
            </w:r>
            <w:proofErr w:type="spellEnd"/>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Investiguer</w:t>
            </w:r>
            <w:proofErr w:type="spellEnd"/>
            <w:r w:rsidRPr="00287A30">
              <w:rPr>
                <w:sz w:val="18"/>
              </w:rPr>
              <w:t xml:space="preserve"> les </w:t>
            </w:r>
            <w:proofErr w:type="spellStart"/>
            <w:r w:rsidRPr="00287A30">
              <w:rPr>
                <w:sz w:val="18"/>
              </w:rPr>
              <w:t>épidemies</w:t>
            </w:r>
            <w:proofErr w:type="spellEnd"/>
            <w:r w:rsidRPr="00287A30">
              <w:rPr>
                <w:sz w:val="18"/>
              </w:rPr>
              <w:t xml:space="preserve"> de </w:t>
            </w:r>
            <w:proofErr w:type="spellStart"/>
            <w:r w:rsidRPr="00287A30">
              <w:rPr>
                <w:sz w:val="18"/>
              </w:rPr>
              <w:t>rougeole</w:t>
            </w:r>
            <w:proofErr w:type="spellEnd"/>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$30 000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$33 000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$36 300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$39 930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$43 923</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$183 153</w:t>
            </w:r>
          </w:p>
        </w:tc>
      </w:tr>
      <w:tr w:rsidR="00287A30"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Organiser</w:t>
            </w:r>
            <w:proofErr w:type="spellEnd"/>
            <w:r w:rsidRPr="00287A30">
              <w:rPr>
                <w:sz w:val="18"/>
              </w:rPr>
              <w:t xml:space="preserve"> les </w:t>
            </w:r>
            <w:proofErr w:type="spellStart"/>
            <w:r w:rsidRPr="00287A30">
              <w:rPr>
                <w:sz w:val="18"/>
              </w:rPr>
              <w:t>campagnes</w:t>
            </w:r>
            <w:proofErr w:type="spellEnd"/>
            <w:r w:rsidRPr="00287A30">
              <w:rPr>
                <w:sz w:val="18"/>
              </w:rPr>
              <w:t xml:space="preserve"> de riposte</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$200 000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$220 000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$242 000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$266 200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$292 820</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$1 221 020</w:t>
            </w:r>
          </w:p>
        </w:tc>
      </w:tr>
      <w:tr w:rsidR="00287A30"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Organiser</w:t>
            </w:r>
            <w:proofErr w:type="spellEnd"/>
            <w:r w:rsidRPr="00287A30">
              <w:rPr>
                <w:sz w:val="18"/>
              </w:rPr>
              <w:t xml:space="preserve"> le transport des </w:t>
            </w:r>
            <w:proofErr w:type="spellStart"/>
            <w:r w:rsidRPr="00287A30">
              <w:rPr>
                <w:sz w:val="18"/>
              </w:rPr>
              <w:t>echanitllons</w:t>
            </w:r>
            <w:proofErr w:type="spellEnd"/>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$76 000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$83 600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$91 960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$101 156</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$111 272</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$463 988</w:t>
            </w:r>
          </w:p>
        </w:tc>
      </w:tr>
      <w:tr w:rsidR="00287A30"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Appuyer</w:t>
            </w:r>
            <w:proofErr w:type="spellEnd"/>
            <w:r w:rsidRPr="00287A30">
              <w:rPr>
                <w:sz w:val="18"/>
              </w:rPr>
              <w:t xml:space="preserve"> la supervision formative</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$5 500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$6 050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$6 655</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$7 321</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$30 526</w:t>
            </w:r>
          </w:p>
        </w:tc>
      </w:tr>
      <w:tr w:rsidR="001D3711" w:rsidRPr="00444EFD" w:rsidTr="006B5811">
        <w:trPr>
          <w:trHeight w:val="9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proofErr w:type="spellStart"/>
            <w:r w:rsidRPr="00287A30">
              <w:rPr>
                <w:sz w:val="18"/>
              </w:rPr>
              <w:t>Organiser</w:t>
            </w:r>
            <w:proofErr w:type="spellEnd"/>
            <w:r w:rsidRPr="00287A30">
              <w:rPr>
                <w:sz w:val="18"/>
              </w:rPr>
              <w:t xml:space="preserve"> des sessions de formation de 1400 agents de santé </w:t>
            </w:r>
            <w:proofErr w:type="spellStart"/>
            <w:r w:rsidRPr="00287A30">
              <w:rPr>
                <w:sz w:val="18"/>
              </w:rPr>
              <w:t>sur</w:t>
            </w:r>
            <w:proofErr w:type="spellEnd"/>
            <w:r w:rsidRPr="00287A30">
              <w:rPr>
                <w:sz w:val="18"/>
              </w:rPr>
              <w:t xml:space="preserve"> les directives de surveillance des maladies </w:t>
            </w:r>
            <w:proofErr w:type="spellStart"/>
            <w:r w:rsidRPr="00287A30">
              <w:rPr>
                <w:sz w:val="18"/>
              </w:rPr>
              <w:t>évitables</w:t>
            </w:r>
            <w:proofErr w:type="spellEnd"/>
            <w:r w:rsidRPr="00287A30">
              <w:rPr>
                <w:sz w:val="18"/>
              </w:rPr>
              <w:t xml:space="preserve"> par la vaccination</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$100 000</w:t>
            </w:r>
          </w:p>
        </w:tc>
        <w:tc>
          <w:tcPr>
            <w:tcW w:w="1276"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p>
        </w:tc>
        <w:tc>
          <w:tcPr>
            <w:tcW w:w="1134"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$110 000</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$210 000</w:t>
            </w:r>
          </w:p>
        </w:tc>
      </w:tr>
      <w:tr w:rsidR="00287A30"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Appuyer</w:t>
            </w:r>
            <w:proofErr w:type="spellEnd"/>
            <w:r w:rsidRPr="00287A30">
              <w:rPr>
                <w:sz w:val="18"/>
              </w:rPr>
              <w:t xml:space="preserve"> la reproduction des </w:t>
            </w:r>
            <w:proofErr w:type="spellStart"/>
            <w:r w:rsidRPr="00287A30">
              <w:rPr>
                <w:sz w:val="18"/>
              </w:rPr>
              <w:t>outils</w:t>
            </w:r>
            <w:proofErr w:type="spellEnd"/>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$50 000</w:t>
            </w:r>
          </w:p>
        </w:tc>
      </w:tr>
      <w:tr w:rsidR="00287A30"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Organiser</w:t>
            </w:r>
            <w:proofErr w:type="spellEnd"/>
            <w:r w:rsidRPr="00287A30">
              <w:rPr>
                <w:sz w:val="18"/>
              </w:rPr>
              <w:t xml:space="preserve"> la </w:t>
            </w:r>
            <w:proofErr w:type="spellStart"/>
            <w:r w:rsidRPr="00287A30">
              <w:rPr>
                <w:sz w:val="18"/>
              </w:rPr>
              <w:t>recherche</w:t>
            </w:r>
            <w:proofErr w:type="spellEnd"/>
            <w:r w:rsidRPr="00287A30">
              <w:rPr>
                <w:sz w:val="18"/>
              </w:rPr>
              <w:t xml:space="preserve"> </w:t>
            </w:r>
            <w:proofErr w:type="spellStart"/>
            <w:r w:rsidRPr="00287A30">
              <w:rPr>
                <w:sz w:val="18"/>
              </w:rPr>
              <w:t>operationnelle</w:t>
            </w:r>
            <w:proofErr w:type="spellEnd"/>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$5 500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$6 050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$6 655</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$7 321</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$30 526</w:t>
            </w:r>
          </w:p>
        </w:tc>
      </w:tr>
      <w:tr w:rsidR="001D3711" w:rsidRPr="00444EFD" w:rsidTr="006B5811">
        <w:trPr>
          <w:trHeight w:val="6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r w:rsidRPr="00287A30">
              <w:rPr>
                <w:sz w:val="18"/>
              </w:rPr>
              <w:t xml:space="preserve">Doter les  38 districts </w:t>
            </w:r>
            <w:proofErr w:type="spellStart"/>
            <w:r w:rsidRPr="00287A30">
              <w:rPr>
                <w:sz w:val="18"/>
              </w:rPr>
              <w:t>sanitaires</w:t>
            </w:r>
            <w:proofErr w:type="spellEnd"/>
            <w:r w:rsidRPr="00287A30">
              <w:rPr>
                <w:sz w:val="18"/>
              </w:rPr>
              <w:t xml:space="preserve"> en </w:t>
            </w:r>
            <w:proofErr w:type="spellStart"/>
            <w:r w:rsidRPr="00287A30">
              <w:rPr>
                <w:sz w:val="18"/>
              </w:rPr>
              <w:t>formulaires</w:t>
            </w:r>
            <w:proofErr w:type="spellEnd"/>
            <w:r w:rsidRPr="00287A30">
              <w:rPr>
                <w:sz w:val="18"/>
              </w:rPr>
              <w:t xml:space="preserve"> de notification des </w:t>
            </w:r>
            <w:proofErr w:type="spellStart"/>
            <w:r w:rsidRPr="00287A30">
              <w:rPr>
                <w:sz w:val="18"/>
              </w:rPr>
              <w:t>cas</w:t>
            </w:r>
            <w:proofErr w:type="spellEnd"/>
            <w:r w:rsidRPr="00287A30">
              <w:rPr>
                <w:sz w:val="18"/>
              </w:rPr>
              <w:t xml:space="preserve"> suspects de </w:t>
            </w:r>
            <w:proofErr w:type="spellStart"/>
            <w:r w:rsidRPr="00287A30">
              <w:rPr>
                <w:sz w:val="18"/>
              </w:rPr>
              <w:t>rougeole</w:t>
            </w:r>
            <w:proofErr w:type="spellEnd"/>
            <w:r w:rsidRPr="00287A30">
              <w:rPr>
                <w:sz w:val="18"/>
              </w:rPr>
              <w:t xml:space="preserve"> (1750)</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$25 000</w:t>
            </w:r>
          </w:p>
        </w:tc>
      </w:tr>
      <w:tr w:rsidR="001D3711" w:rsidRPr="00444EFD" w:rsidTr="006B5811">
        <w:trPr>
          <w:trHeight w:val="6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r w:rsidRPr="00287A30">
              <w:rPr>
                <w:sz w:val="18"/>
              </w:rPr>
              <w:t xml:space="preserve">Doter les  38 districts </w:t>
            </w:r>
            <w:proofErr w:type="spellStart"/>
            <w:r w:rsidRPr="00287A30">
              <w:rPr>
                <w:sz w:val="18"/>
              </w:rPr>
              <w:t>sanitaires</w:t>
            </w:r>
            <w:proofErr w:type="spellEnd"/>
            <w:r w:rsidRPr="00287A30">
              <w:rPr>
                <w:sz w:val="18"/>
              </w:rPr>
              <w:t xml:space="preserve"> en kits de </w:t>
            </w:r>
            <w:proofErr w:type="spellStart"/>
            <w:r w:rsidRPr="00287A30">
              <w:rPr>
                <w:sz w:val="18"/>
              </w:rPr>
              <w:t>prélèvement</w:t>
            </w:r>
            <w:proofErr w:type="spellEnd"/>
            <w:r w:rsidRPr="00287A30">
              <w:rPr>
                <w:sz w:val="18"/>
              </w:rPr>
              <w:t xml:space="preserve"> des </w:t>
            </w:r>
            <w:proofErr w:type="spellStart"/>
            <w:r w:rsidRPr="00287A30">
              <w:rPr>
                <w:sz w:val="18"/>
              </w:rPr>
              <w:t>cas</w:t>
            </w:r>
            <w:proofErr w:type="spellEnd"/>
            <w:r w:rsidRPr="00287A30">
              <w:rPr>
                <w:sz w:val="18"/>
              </w:rPr>
              <w:t xml:space="preserve"> suspects de </w:t>
            </w:r>
            <w:proofErr w:type="spellStart"/>
            <w:r w:rsidRPr="00287A30">
              <w:rPr>
                <w:sz w:val="18"/>
              </w:rPr>
              <w:t>rougeole</w:t>
            </w:r>
            <w:proofErr w:type="spellEnd"/>
            <w:r w:rsidRPr="00287A30">
              <w:rPr>
                <w:sz w:val="18"/>
              </w:rPr>
              <w:t xml:space="preserve"> (1750)</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$10 000</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$50 000</w:t>
            </w:r>
          </w:p>
        </w:tc>
      </w:tr>
      <w:tr w:rsidR="001D3711" w:rsidRPr="00444EFD" w:rsidTr="006B5811">
        <w:trPr>
          <w:trHeight w:val="15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r w:rsidRPr="00287A30">
              <w:rPr>
                <w:sz w:val="18"/>
              </w:rPr>
              <w:t xml:space="preserve">Doter le </w:t>
            </w:r>
            <w:proofErr w:type="spellStart"/>
            <w:r w:rsidRPr="00287A30">
              <w:rPr>
                <w:sz w:val="18"/>
              </w:rPr>
              <w:t>système</w:t>
            </w:r>
            <w:proofErr w:type="spellEnd"/>
            <w:r w:rsidRPr="00287A30">
              <w:rPr>
                <w:sz w:val="18"/>
              </w:rPr>
              <w:t xml:space="preserve"> de surveillance en </w:t>
            </w:r>
            <w:proofErr w:type="spellStart"/>
            <w:r w:rsidRPr="00287A30">
              <w:rPr>
                <w:sz w:val="18"/>
              </w:rPr>
              <w:t>matériel</w:t>
            </w:r>
            <w:proofErr w:type="spellEnd"/>
            <w:r w:rsidRPr="00287A30">
              <w:rPr>
                <w:sz w:val="18"/>
              </w:rPr>
              <w:t xml:space="preserve"> de communication à </w:t>
            </w:r>
            <w:proofErr w:type="spellStart"/>
            <w:r w:rsidRPr="00287A30">
              <w:rPr>
                <w:sz w:val="18"/>
              </w:rPr>
              <w:t>tous</w:t>
            </w:r>
            <w:proofErr w:type="spellEnd"/>
            <w:r w:rsidRPr="00287A30">
              <w:rPr>
                <w:sz w:val="18"/>
              </w:rPr>
              <w:t xml:space="preserve"> les </w:t>
            </w:r>
            <w:proofErr w:type="spellStart"/>
            <w:r w:rsidRPr="00287A30">
              <w:rPr>
                <w:sz w:val="18"/>
              </w:rPr>
              <w:t>niveaux</w:t>
            </w:r>
            <w:proofErr w:type="spellEnd"/>
            <w:r w:rsidRPr="00287A30">
              <w:rPr>
                <w:sz w:val="18"/>
              </w:rPr>
              <w:t xml:space="preserve"> (300Flottes </w:t>
            </w:r>
            <w:proofErr w:type="spellStart"/>
            <w:r w:rsidRPr="00287A30">
              <w:rPr>
                <w:sz w:val="18"/>
              </w:rPr>
              <w:t>téléphoniques</w:t>
            </w:r>
            <w:proofErr w:type="spellEnd"/>
            <w:r w:rsidRPr="00287A30">
              <w:rPr>
                <w:sz w:val="18"/>
              </w:rPr>
              <w:t xml:space="preserve"> aux CS),  (38 </w:t>
            </w:r>
            <w:proofErr w:type="spellStart"/>
            <w:r w:rsidRPr="00287A30">
              <w:rPr>
                <w:sz w:val="18"/>
              </w:rPr>
              <w:t>Flottes</w:t>
            </w:r>
            <w:proofErr w:type="spellEnd"/>
            <w:r w:rsidRPr="00287A30">
              <w:rPr>
                <w:sz w:val="18"/>
              </w:rPr>
              <w:t xml:space="preserve"> </w:t>
            </w:r>
            <w:proofErr w:type="spellStart"/>
            <w:r w:rsidRPr="00287A30">
              <w:rPr>
                <w:sz w:val="18"/>
              </w:rPr>
              <w:t>téléphoniques</w:t>
            </w:r>
            <w:proofErr w:type="spellEnd"/>
            <w:r w:rsidRPr="00287A30">
              <w:rPr>
                <w:sz w:val="18"/>
              </w:rPr>
              <w:t xml:space="preserve"> aux DPS), (8 </w:t>
            </w:r>
            <w:proofErr w:type="spellStart"/>
            <w:r w:rsidRPr="00287A30">
              <w:rPr>
                <w:sz w:val="18"/>
              </w:rPr>
              <w:t>Flottes</w:t>
            </w:r>
            <w:proofErr w:type="spellEnd"/>
            <w:r w:rsidRPr="00287A30">
              <w:rPr>
                <w:sz w:val="18"/>
              </w:rPr>
              <w:t xml:space="preserve"> </w:t>
            </w:r>
            <w:proofErr w:type="spellStart"/>
            <w:r w:rsidRPr="00287A30">
              <w:rPr>
                <w:sz w:val="18"/>
              </w:rPr>
              <w:t>téléphoniques</w:t>
            </w:r>
            <w:proofErr w:type="spellEnd"/>
            <w:r w:rsidRPr="00287A30">
              <w:rPr>
                <w:sz w:val="18"/>
              </w:rPr>
              <w:t xml:space="preserve"> aux DRS) et (10 </w:t>
            </w:r>
            <w:proofErr w:type="spellStart"/>
            <w:r w:rsidRPr="00287A30">
              <w:rPr>
                <w:sz w:val="18"/>
              </w:rPr>
              <w:t>Flottes</w:t>
            </w:r>
            <w:proofErr w:type="spellEnd"/>
            <w:r w:rsidRPr="00287A30">
              <w:rPr>
                <w:sz w:val="18"/>
              </w:rPr>
              <w:t xml:space="preserve"> </w:t>
            </w:r>
            <w:proofErr w:type="spellStart"/>
            <w:r w:rsidRPr="00287A30">
              <w:rPr>
                <w:sz w:val="18"/>
              </w:rPr>
              <w:t>téléphoniques</w:t>
            </w:r>
            <w:proofErr w:type="spellEnd"/>
            <w:r w:rsidRPr="00287A30">
              <w:rPr>
                <w:sz w:val="18"/>
              </w:rPr>
              <w:t xml:space="preserve"> au </w:t>
            </w:r>
            <w:proofErr w:type="spellStart"/>
            <w:r w:rsidRPr="00287A30">
              <w:rPr>
                <w:sz w:val="18"/>
              </w:rPr>
              <w:t>niveau</w:t>
            </w:r>
            <w:proofErr w:type="spellEnd"/>
            <w:r w:rsidRPr="00287A30">
              <w:rPr>
                <w:sz w:val="18"/>
              </w:rPr>
              <w:t xml:space="preserve"> central)</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$106 800</w:t>
            </w:r>
          </w:p>
        </w:tc>
        <w:tc>
          <w:tcPr>
            <w:tcW w:w="1276"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$106 800</w:t>
            </w:r>
          </w:p>
        </w:tc>
        <w:tc>
          <w:tcPr>
            <w:tcW w:w="1276" w:type="dxa"/>
            <w:noWrap/>
            <w:vAlign w:val="center"/>
            <w:hideMark/>
          </w:tcPr>
          <w:p w:rsidR="00444EFD" w:rsidRPr="00287A30" w:rsidRDefault="00444EFD" w:rsidP="00493711">
            <w:pPr>
              <w:spacing w:after="0" w:line="240" w:lineRule="auto"/>
              <w:jc w:val="center"/>
              <w:rPr>
                <w:sz w:val="18"/>
              </w:rPr>
            </w:pP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$213 600</w:t>
            </w:r>
          </w:p>
        </w:tc>
      </w:tr>
      <w:tr w:rsidR="001D3711" w:rsidRPr="00444EFD" w:rsidTr="006B5811">
        <w:trPr>
          <w:trHeight w:val="6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proofErr w:type="spellStart"/>
            <w:r w:rsidRPr="00287A30">
              <w:rPr>
                <w:sz w:val="18"/>
              </w:rPr>
              <w:t>Renforcer</w:t>
            </w:r>
            <w:proofErr w:type="spellEnd"/>
            <w:r w:rsidRPr="00287A30">
              <w:rPr>
                <w:sz w:val="18"/>
              </w:rPr>
              <w:t xml:space="preserve"> la surveillance et la notification des MAPI</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$5 000</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$25 000</w:t>
            </w:r>
          </w:p>
        </w:tc>
      </w:tr>
      <w:tr w:rsidR="001D3711" w:rsidRPr="00444EFD" w:rsidTr="006B5811">
        <w:trPr>
          <w:trHeight w:val="6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proofErr w:type="spellStart"/>
            <w:r w:rsidRPr="00287A30">
              <w:rPr>
                <w:sz w:val="18"/>
              </w:rPr>
              <w:t>Approvisionner</w:t>
            </w:r>
            <w:proofErr w:type="spellEnd"/>
            <w:r w:rsidRPr="00287A30">
              <w:rPr>
                <w:sz w:val="18"/>
              </w:rPr>
              <w:t xml:space="preserve"> les 38 districts </w:t>
            </w:r>
            <w:proofErr w:type="spellStart"/>
            <w:r w:rsidRPr="00287A30">
              <w:rPr>
                <w:sz w:val="18"/>
              </w:rPr>
              <w:t>sanitaires</w:t>
            </w:r>
            <w:proofErr w:type="spellEnd"/>
            <w:r w:rsidRPr="00287A30">
              <w:rPr>
                <w:sz w:val="18"/>
              </w:rPr>
              <w:t xml:space="preserve"> en kits pour la </w:t>
            </w:r>
            <w:proofErr w:type="spellStart"/>
            <w:r w:rsidRPr="00287A30">
              <w:rPr>
                <w:sz w:val="18"/>
              </w:rPr>
              <w:t>prise</w:t>
            </w:r>
            <w:proofErr w:type="spellEnd"/>
            <w:r w:rsidRPr="00287A30">
              <w:rPr>
                <w:sz w:val="18"/>
              </w:rPr>
              <w:t xml:space="preserve"> en charge</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$75 000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$45 000</w:t>
            </w: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$0</w:t>
            </w:r>
          </w:p>
        </w:tc>
        <w:tc>
          <w:tcPr>
            <w:tcW w:w="1276" w:type="dxa"/>
            <w:noWrap/>
            <w:vAlign w:val="center"/>
            <w:hideMark/>
          </w:tcPr>
          <w:p w:rsidR="00444EFD" w:rsidRPr="00287A30" w:rsidRDefault="00444EFD" w:rsidP="00493711">
            <w:pPr>
              <w:spacing w:after="0" w:line="240" w:lineRule="auto"/>
              <w:jc w:val="center"/>
              <w:rPr>
                <w:sz w:val="18"/>
              </w:rPr>
            </w:pPr>
            <w:r w:rsidRPr="00287A30">
              <w:rPr>
                <w:sz w:val="18"/>
              </w:rPr>
              <w:t>$50 000</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$170 000</w:t>
            </w:r>
          </w:p>
        </w:tc>
      </w:tr>
      <w:tr w:rsidR="001D3711"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b/>
                <w:bCs/>
                <w:sz w:val="18"/>
              </w:rPr>
            </w:pPr>
            <w:r w:rsidRPr="00287A30">
              <w:rPr>
                <w:b/>
                <w:bCs/>
                <w:sz w:val="18"/>
              </w:rPr>
              <w:t>Sous-Total</w:t>
            </w:r>
          </w:p>
        </w:tc>
        <w:tc>
          <w:tcPr>
            <w:tcW w:w="1417" w:type="dxa"/>
            <w:noWrap/>
            <w:vAlign w:val="center"/>
            <w:hideMark/>
          </w:tcPr>
          <w:p w:rsidR="00444EFD" w:rsidRPr="00287A30" w:rsidRDefault="00444EFD" w:rsidP="00493711">
            <w:pPr>
              <w:spacing w:after="0" w:line="240" w:lineRule="auto"/>
              <w:jc w:val="center"/>
              <w:rPr>
                <w:b/>
                <w:bCs/>
                <w:sz w:val="18"/>
              </w:rPr>
            </w:pPr>
            <w:r w:rsidRPr="00287A30">
              <w:rPr>
                <w:b/>
                <w:bCs/>
                <w:sz w:val="18"/>
              </w:rPr>
              <w:t>$627 800</w:t>
            </w:r>
          </w:p>
        </w:tc>
        <w:tc>
          <w:tcPr>
            <w:tcW w:w="1276" w:type="dxa"/>
            <w:noWrap/>
            <w:vAlign w:val="center"/>
            <w:hideMark/>
          </w:tcPr>
          <w:p w:rsidR="00444EFD" w:rsidRPr="00287A30" w:rsidRDefault="00444EFD" w:rsidP="00493711">
            <w:pPr>
              <w:spacing w:after="0" w:line="240" w:lineRule="auto"/>
              <w:jc w:val="center"/>
              <w:rPr>
                <w:b/>
                <w:bCs/>
                <w:sz w:val="18"/>
              </w:rPr>
            </w:pPr>
            <w:r w:rsidRPr="00287A30">
              <w:rPr>
                <w:b/>
                <w:bCs/>
                <w:sz w:val="18"/>
              </w:rPr>
              <w:t>$377 600</w:t>
            </w:r>
          </w:p>
        </w:tc>
        <w:tc>
          <w:tcPr>
            <w:tcW w:w="1276" w:type="dxa"/>
            <w:noWrap/>
            <w:vAlign w:val="center"/>
            <w:hideMark/>
          </w:tcPr>
          <w:p w:rsidR="00444EFD" w:rsidRPr="00287A30" w:rsidRDefault="00444EFD" w:rsidP="00493711">
            <w:pPr>
              <w:spacing w:after="0" w:line="240" w:lineRule="auto"/>
              <w:jc w:val="center"/>
              <w:rPr>
                <w:b/>
                <w:bCs/>
                <w:sz w:val="18"/>
              </w:rPr>
            </w:pPr>
            <w:r w:rsidRPr="00287A30">
              <w:rPr>
                <w:b/>
                <w:bCs/>
                <w:sz w:val="18"/>
              </w:rPr>
              <w:t>$457 360</w:t>
            </w:r>
          </w:p>
        </w:tc>
        <w:tc>
          <w:tcPr>
            <w:tcW w:w="1134" w:type="dxa"/>
            <w:noWrap/>
            <w:vAlign w:val="center"/>
            <w:hideMark/>
          </w:tcPr>
          <w:p w:rsidR="00444EFD" w:rsidRPr="00287A30" w:rsidRDefault="00444EFD" w:rsidP="00493711">
            <w:pPr>
              <w:spacing w:after="0" w:line="240" w:lineRule="auto"/>
              <w:jc w:val="center"/>
              <w:rPr>
                <w:b/>
                <w:bCs/>
                <w:sz w:val="18"/>
              </w:rPr>
            </w:pPr>
            <w:r w:rsidRPr="00287A30">
              <w:rPr>
                <w:b/>
                <w:bCs/>
                <w:sz w:val="18"/>
              </w:rPr>
              <w:t>$557 396</w:t>
            </w:r>
          </w:p>
        </w:tc>
        <w:tc>
          <w:tcPr>
            <w:tcW w:w="1276" w:type="dxa"/>
            <w:noWrap/>
            <w:vAlign w:val="center"/>
            <w:hideMark/>
          </w:tcPr>
          <w:p w:rsidR="00444EFD" w:rsidRPr="00287A30" w:rsidRDefault="00444EFD" w:rsidP="00493711">
            <w:pPr>
              <w:spacing w:after="0" w:line="240" w:lineRule="auto"/>
              <w:jc w:val="center"/>
              <w:rPr>
                <w:b/>
                <w:bCs/>
                <w:sz w:val="18"/>
              </w:rPr>
            </w:pPr>
            <w:r w:rsidRPr="00287A30">
              <w:rPr>
                <w:b/>
                <w:bCs/>
                <w:sz w:val="18"/>
              </w:rPr>
              <w:t>$652 656</w:t>
            </w:r>
          </w:p>
        </w:tc>
        <w:tc>
          <w:tcPr>
            <w:tcW w:w="1417" w:type="dxa"/>
            <w:noWrap/>
            <w:vAlign w:val="center"/>
            <w:hideMark/>
          </w:tcPr>
          <w:p w:rsidR="00444EFD" w:rsidRPr="00287A30" w:rsidRDefault="00444EFD" w:rsidP="00493711">
            <w:pPr>
              <w:spacing w:after="0" w:line="240" w:lineRule="auto"/>
              <w:jc w:val="center"/>
              <w:rPr>
                <w:b/>
                <w:bCs/>
                <w:sz w:val="18"/>
              </w:rPr>
            </w:pPr>
            <w:r w:rsidRPr="00287A30">
              <w:rPr>
                <w:b/>
                <w:bCs/>
                <w:sz w:val="18"/>
              </w:rPr>
              <w:t>$2 672 812</w:t>
            </w:r>
          </w:p>
        </w:tc>
      </w:tr>
      <w:tr w:rsidR="00287A30" w:rsidRPr="00444EFD" w:rsidTr="006B5811">
        <w:trPr>
          <w:trHeight w:val="300"/>
        </w:trPr>
        <w:tc>
          <w:tcPr>
            <w:tcW w:w="1419" w:type="dxa"/>
            <w:vMerge w:val="restart"/>
            <w:noWrap/>
            <w:hideMark/>
          </w:tcPr>
          <w:p w:rsidR="00493711" w:rsidRDefault="00493711" w:rsidP="00493711">
            <w:pPr>
              <w:spacing w:after="0" w:line="240" w:lineRule="auto"/>
            </w:pPr>
          </w:p>
          <w:p w:rsidR="00493711" w:rsidRDefault="00493711" w:rsidP="00493711">
            <w:pPr>
              <w:spacing w:after="0" w:line="240" w:lineRule="auto"/>
            </w:pPr>
          </w:p>
          <w:p w:rsidR="00493711" w:rsidRDefault="00493711" w:rsidP="00493711">
            <w:pPr>
              <w:spacing w:after="0" w:line="240" w:lineRule="auto"/>
            </w:pPr>
          </w:p>
          <w:p w:rsidR="00493711" w:rsidRDefault="00493711" w:rsidP="00493711">
            <w:pPr>
              <w:spacing w:after="0" w:line="240" w:lineRule="auto"/>
            </w:pPr>
          </w:p>
          <w:p w:rsidR="00444EFD" w:rsidRPr="00444EFD" w:rsidRDefault="00444EFD" w:rsidP="00493711">
            <w:pPr>
              <w:spacing w:after="0" w:line="240" w:lineRule="auto"/>
            </w:pPr>
            <w:r w:rsidRPr="00444EFD">
              <w:t>AVS</w:t>
            </w:r>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Organiser</w:t>
            </w:r>
            <w:proofErr w:type="spellEnd"/>
            <w:r w:rsidRPr="00287A30">
              <w:rPr>
                <w:sz w:val="18"/>
              </w:rPr>
              <w:t xml:space="preserve"> les </w:t>
            </w:r>
            <w:proofErr w:type="spellStart"/>
            <w:r w:rsidRPr="00287A30">
              <w:rPr>
                <w:sz w:val="18"/>
              </w:rPr>
              <w:t>campagnes</w:t>
            </w:r>
            <w:proofErr w:type="spellEnd"/>
            <w:r w:rsidRPr="00287A30">
              <w:rPr>
                <w:sz w:val="18"/>
              </w:rPr>
              <w:t xml:space="preserve"> de </w:t>
            </w:r>
            <w:proofErr w:type="spellStart"/>
            <w:r w:rsidRPr="00287A30">
              <w:rPr>
                <w:sz w:val="18"/>
              </w:rPr>
              <w:t>suivi</w:t>
            </w:r>
            <w:proofErr w:type="spellEnd"/>
            <w:r w:rsidRPr="00287A30">
              <w:rPr>
                <w:sz w:val="18"/>
              </w:rPr>
              <w:t xml:space="preserve"> </w:t>
            </w:r>
            <w:proofErr w:type="spellStart"/>
            <w:r w:rsidRPr="00287A30">
              <w:rPr>
                <w:sz w:val="18"/>
              </w:rPr>
              <w:t>dans</w:t>
            </w:r>
            <w:proofErr w:type="spellEnd"/>
            <w:r w:rsidRPr="00287A30">
              <w:rPr>
                <w:sz w:val="18"/>
              </w:rPr>
              <w:t xml:space="preserve"> les 38 districts</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$3 014 397</w:t>
            </w:r>
          </w:p>
        </w:tc>
        <w:tc>
          <w:tcPr>
            <w:tcW w:w="1276"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$3 315 837</w:t>
            </w:r>
          </w:p>
        </w:tc>
        <w:tc>
          <w:tcPr>
            <w:tcW w:w="1276" w:type="dxa"/>
            <w:noWrap/>
            <w:vAlign w:val="center"/>
            <w:hideMark/>
          </w:tcPr>
          <w:p w:rsidR="00444EFD" w:rsidRPr="00287A30" w:rsidRDefault="00444EFD" w:rsidP="00493711">
            <w:pPr>
              <w:spacing w:after="0" w:line="240" w:lineRule="auto"/>
              <w:jc w:val="center"/>
              <w:rPr>
                <w:sz w:val="18"/>
              </w:rPr>
            </w:pP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$6 330 234</w:t>
            </w:r>
          </w:p>
        </w:tc>
      </w:tr>
      <w:tr w:rsidR="00287A30"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Integrer</w:t>
            </w:r>
            <w:proofErr w:type="spellEnd"/>
            <w:r w:rsidRPr="00287A30">
              <w:rPr>
                <w:sz w:val="18"/>
              </w:rPr>
              <w:t xml:space="preserve"> la </w:t>
            </w:r>
            <w:proofErr w:type="spellStart"/>
            <w:r w:rsidRPr="00287A30">
              <w:rPr>
                <w:sz w:val="18"/>
              </w:rPr>
              <w:t>vitamine</w:t>
            </w:r>
            <w:proofErr w:type="spellEnd"/>
            <w:r w:rsidRPr="00287A30">
              <w:rPr>
                <w:sz w:val="18"/>
              </w:rPr>
              <w:t xml:space="preserve"> A</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$38 987</w:t>
            </w:r>
          </w:p>
        </w:tc>
        <w:tc>
          <w:tcPr>
            <w:tcW w:w="1276"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$42 886</w:t>
            </w:r>
          </w:p>
        </w:tc>
        <w:tc>
          <w:tcPr>
            <w:tcW w:w="1276" w:type="dxa"/>
            <w:noWrap/>
            <w:vAlign w:val="center"/>
            <w:hideMark/>
          </w:tcPr>
          <w:p w:rsidR="00444EFD" w:rsidRPr="00287A30" w:rsidRDefault="00444EFD" w:rsidP="00493711">
            <w:pPr>
              <w:spacing w:after="0" w:line="240" w:lineRule="auto"/>
              <w:jc w:val="center"/>
              <w:rPr>
                <w:sz w:val="18"/>
              </w:rPr>
            </w:pP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$81 873</w:t>
            </w:r>
          </w:p>
        </w:tc>
      </w:tr>
      <w:tr w:rsidR="00287A30"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noWrap/>
            <w:vAlign w:val="center"/>
            <w:hideMark/>
          </w:tcPr>
          <w:p w:rsidR="00444EFD" w:rsidRPr="00287A30" w:rsidRDefault="00444EFD" w:rsidP="00493711">
            <w:pPr>
              <w:spacing w:after="0" w:line="240" w:lineRule="auto"/>
              <w:rPr>
                <w:sz w:val="18"/>
              </w:rPr>
            </w:pPr>
            <w:proofErr w:type="spellStart"/>
            <w:r w:rsidRPr="00287A30">
              <w:rPr>
                <w:sz w:val="18"/>
              </w:rPr>
              <w:t>Integrer</w:t>
            </w:r>
            <w:proofErr w:type="spellEnd"/>
            <w:r w:rsidRPr="00287A30">
              <w:rPr>
                <w:sz w:val="18"/>
              </w:rPr>
              <w:t xml:space="preserve"> le </w:t>
            </w:r>
            <w:proofErr w:type="spellStart"/>
            <w:r w:rsidRPr="00287A30">
              <w:rPr>
                <w:sz w:val="18"/>
              </w:rPr>
              <w:t>Mbendazole</w:t>
            </w:r>
            <w:proofErr w:type="spellEnd"/>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$32 047</w:t>
            </w:r>
          </w:p>
        </w:tc>
        <w:tc>
          <w:tcPr>
            <w:tcW w:w="1276"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$35 252</w:t>
            </w:r>
          </w:p>
        </w:tc>
        <w:tc>
          <w:tcPr>
            <w:tcW w:w="1276" w:type="dxa"/>
            <w:noWrap/>
            <w:vAlign w:val="center"/>
            <w:hideMark/>
          </w:tcPr>
          <w:p w:rsidR="00444EFD" w:rsidRPr="00287A30" w:rsidRDefault="00444EFD" w:rsidP="00493711">
            <w:pPr>
              <w:spacing w:after="0" w:line="240" w:lineRule="auto"/>
              <w:jc w:val="center"/>
              <w:rPr>
                <w:sz w:val="18"/>
              </w:rPr>
            </w:pP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$67 299</w:t>
            </w:r>
          </w:p>
        </w:tc>
      </w:tr>
      <w:tr w:rsidR="001D3711" w:rsidRPr="00444EFD" w:rsidTr="006B5811">
        <w:trPr>
          <w:trHeight w:val="6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proofErr w:type="spellStart"/>
            <w:r w:rsidRPr="00287A30">
              <w:rPr>
                <w:sz w:val="18"/>
              </w:rPr>
              <w:t>Organiser</w:t>
            </w:r>
            <w:proofErr w:type="spellEnd"/>
            <w:r w:rsidRPr="00287A30">
              <w:rPr>
                <w:sz w:val="18"/>
              </w:rPr>
              <w:t xml:space="preserve"> le </w:t>
            </w:r>
            <w:proofErr w:type="spellStart"/>
            <w:r w:rsidRPr="00287A30">
              <w:rPr>
                <w:sz w:val="18"/>
              </w:rPr>
              <w:t>plaidoyer</w:t>
            </w:r>
            <w:proofErr w:type="spellEnd"/>
            <w:r w:rsidRPr="00287A30">
              <w:rPr>
                <w:sz w:val="18"/>
              </w:rPr>
              <w:t xml:space="preserve"> en </w:t>
            </w:r>
            <w:proofErr w:type="spellStart"/>
            <w:r w:rsidRPr="00287A30">
              <w:rPr>
                <w:sz w:val="18"/>
              </w:rPr>
              <w:t>faveur</w:t>
            </w:r>
            <w:proofErr w:type="spellEnd"/>
            <w:r w:rsidRPr="00287A30">
              <w:rPr>
                <w:sz w:val="18"/>
              </w:rPr>
              <w:t xml:space="preserve"> de la </w:t>
            </w:r>
            <w:proofErr w:type="spellStart"/>
            <w:r w:rsidRPr="00287A30">
              <w:rPr>
                <w:sz w:val="18"/>
              </w:rPr>
              <w:t>mobilisation</w:t>
            </w:r>
            <w:proofErr w:type="spellEnd"/>
            <w:r w:rsidRPr="00287A30">
              <w:rPr>
                <w:sz w:val="18"/>
              </w:rPr>
              <w:t xml:space="preserve"> des </w:t>
            </w:r>
            <w:proofErr w:type="spellStart"/>
            <w:r w:rsidRPr="00287A30">
              <w:rPr>
                <w:sz w:val="18"/>
              </w:rPr>
              <w:t>ressources</w:t>
            </w:r>
            <w:proofErr w:type="spellEnd"/>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$20 000</w:t>
            </w:r>
          </w:p>
        </w:tc>
        <w:tc>
          <w:tcPr>
            <w:tcW w:w="1276"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$22 000</w:t>
            </w:r>
          </w:p>
        </w:tc>
        <w:tc>
          <w:tcPr>
            <w:tcW w:w="1276" w:type="dxa"/>
            <w:noWrap/>
            <w:vAlign w:val="center"/>
            <w:hideMark/>
          </w:tcPr>
          <w:p w:rsidR="00444EFD" w:rsidRPr="00287A30" w:rsidRDefault="00444EFD" w:rsidP="00493711">
            <w:pPr>
              <w:spacing w:after="0" w:line="240" w:lineRule="auto"/>
              <w:jc w:val="center"/>
              <w:rPr>
                <w:sz w:val="18"/>
              </w:rPr>
            </w:pP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$42 000</w:t>
            </w:r>
          </w:p>
        </w:tc>
      </w:tr>
      <w:tr w:rsidR="001D3711" w:rsidRPr="00444EFD" w:rsidTr="006B5811">
        <w:trPr>
          <w:trHeight w:val="6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rPr>
                <w:sz w:val="18"/>
              </w:rPr>
            </w:pPr>
            <w:proofErr w:type="spellStart"/>
            <w:r w:rsidRPr="00287A30">
              <w:rPr>
                <w:sz w:val="18"/>
              </w:rPr>
              <w:t>Renforcer</w:t>
            </w:r>
            <w:proofErr w:type="spellEnd"/>
            <w:r w:rsidRPr="00287A30">
              <w:rPr>
                <w:sz w:val="18"/>
              </w:rPr>
              <w:t xml:space="preserve"> la communication et la </w:t>
            </w:r>
            <w:proofErr w:type="spellStart"/>
            <w:r w:rsidRPr="00287A30">
              <w:rPr>
                <w:sz w:val="18"/>
              </w:rPr>
              <w:t>mobilisation</w:t>
            </w:r>
            <w:proofErr w:type="spellEnd"/>
            <w:r w:rsidRPr="00287A30">
              <w:rPr>
                <w:sz w:val="18"/>
              </w:rPr>
              <w:t xml:space="preserve"> </w:t>
            </w:r>
            <w:proofErr w:type="spellStart"/>
            <w:r w:rsidRPr="00287A30">
              <w:rPr>
                <w:sz w:val="18"/>
              </w:rPr>
              <w:t>sociale</w:t>
            </w:r>
            <w:proofErr w:type="spellEnd"/>
            <w:r w:rsidRPr="00287A30">
              <w:rPr>
                <w:sz w:val="18"/>
              </w:rPr>
              <w:t xml:space="preserve"> à </w:t>
            </w:r>
            <w:proofErr w:type="spellStart"/>
            <w:r w:rsidRPr="00287A30">
              <w:rPr>
                <w:sz w:val="18"/>
              </w:rPr>
              <w:t>tous</w:t>
            </w:r>
            <w:proofErr w:type="spellEnd"/>
            <w:r w:rsidRPr="00287A30">
              <w:rPr>
                <w:sz w:val="18"/>
              </w:rPr>
              <w:t xml:space="preserve"> les </w:t>
            </w:r>
            <w:proofErr w:type="spellStart"/>
            <w:r w:rsidRPr="00287A30">
              <w:rPr>
                <w:sz w:val="18"/>
              </w:rPr>
              <w:t>niveaux</w:t>
            </w:r>
            <w:proofErr w:type="spellEnd"/>
            <w:r w:rsidRPr="00287A30">
              <w:rPr>
                <w:sz w:val="18"/>
              </w:rPr>
              <w:t xml:space="preserve"> en </w:t>
            </w:r>
            <w:proofErr w:type="spellStart"/>
            <w:r w:rsidRPr="00287A30">
              <w:rPr>
                <w:sz w:val="18"/>
              </w:rPr>
              <w:t>faveur</w:t>
            </w:r>
            <w:proofErr w:type="spellEnd"/>
            <w:r w:rsidRPr="00287A30">
              <w:rPr>
                <w:sz w:val="18"/>
              </w:rPr>
              <w:t xml:space="preserve"> de AVS</w:t>
            </w: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$164 000</w:t>
            </w:r>
          </w:p>
        </w:tc>
        <w:tc>
          <w:tcPr>
            <w:tcW w:w="1276" w:type="dxa"/>
            <w:noWrap/>
            <w:vAlign w:val="center"/>
            <w:hideMark/>
          </w:tcPr>
          <w:p w:rsidR="00444EFD" w:rsidRPr="00287A30" w:rsidRDefault="00444EFD" w:rsidP="00493711">
            <w:pPr>
              <w:spacing w:after="0" w:line="240" w:lineRule="auto"/>
              <w:jc w:val="center"/>
              <w:rPr>
                <w:sz w:val="18"/>
              </w:rPr>
            </w:pPr>
          </w:p>
        </w:tc>
        <w:tc>
          <w:tcPr>
            <w:tcW w:w="1276" w:type="dxa"/>
            <w:noWrap/>
            <w:vAlign w:val="center"/>
            <w:hideMark/>
          </w:tcPr>
          <w:p w:rsidR="00444EFD" w:rsidRPr="00287A30" w:rsidRDefault="00444EFD" w:rsidP="00493711">
            <w:pPr>
              <w:spacing w:after="0" w:line="240" w:lineRule="auto"/>
              <w:jc w:val="center"/>
              <w:rPr>
                <w:sz w:val="18"/>
              </w:rPr>
            </w:pPr>
          </w:p>
        </w:tc>
        <w:tc>
          <w:tcPr>
            <w:tcW w:w="1134" w:type="dxa"/>
            <w:noWrap/>
            <w:vAlign w:val="center"/>
            <w:hideMark/>
          </w:tcPr>
          <w:p w:rsidR="00444EFD" w:rsidRPr="00287A30" w:rsidRDefault="00444EFD" w:rsidP="00493711">
            <w:pPr>
              <w:spacing w:after="0" w:line="240" w:lineRule="auto"/>
              <w:jc w:val="center"/>
              <w:rPr>
                <w:sz w:val="18"/>
              </w:rPr>
            </w:pPr>
            <w:r w:rsidRPr="00287A30">
              <w:rPr>
                <w:sz w:val="18"/>
              </w:rPr>
              <w:t>$180 400</w:t>
            </w:r>
          </w:p>
        </w:tc>
        <w:tc>
          <w:tcPr>
            <w:tcW w:w="1276" w:type="dxa"/>
            <w:noWrap/>
            <w:vAlign w:val="center"/>
            <w:hideMark/>
          </w:tcPr>
          <w:p w:rsidR="00444EFD" w:rsidRPr="00287A30" w:rsidRDefault="00444EFD" w:rsidP="00493711">
            <w:pPr>
              <w:spacing w:after="0" w:line="240" w:lineRule="auto"/>
              <w:jc w:val="center"/>
              <w:rPr>
                <w:sz w:val="18"/>
              </w:rPr>
            </w:pPr>
          </w:p>
        </w:tc>
        <w:tc>
          <w:tcPr>
            <w:tcW w:w="1417" w:type="dxa"/>
            <w:noWrap/>
            <w:vAlign w:val="center"/>
            <w:hideMark/>
          </w:tcPr>
          <w:p w:rsidR="00444EFD" w:rsidRPr="00287A30" w:rsidRDefault="00444EFD" w:rsidP="00493711">
            <w:pPr>
              <w:spacing w:after="0" w:line="240" w:lineRule="auto"/>
              <w:jc w:val="center"/>
              <w:rPr>
                <w:sz w:val="18"/>
              </w:rPr>
            </w:pPr>
            <w:r w:rsidRPr="00287A30">
              <w:rPr>
                <w:sz w:val="18"/>
              </w:rPr>
              <w:t>$344 400</w:t>
            </w:r>
          </w:p>
        </w:tc>
      </w:tr>
      <w:tr w:rsidR="001D3711" w:rsidRPr="00444EFD" w:rsidTr="006B5811">
        <w:trPr>
          <w:trHeight w:val="300"/>
        </w:trPr>
        <w:tc>
          <w:tcPr>
            <w:tcW w:w="1419" w:type="dxa"/>
            <w:vMerge/>
            <w:hideMark/>
          </w:tcPr>
          <w:p w:rsidR="00444EFD" w:rsidRPr="00444EFD" w:rsidRDefault="00444EFD" w:rsidP="00493711">
            <w:pPr>
              <w:spacing w:after="0" w:line="240" w:lineRule="auto"/>
            </w:pPr>
          </w:p>
        </w:tc>
        <w:tc>
          <w:tcPr>
            <w:tcW w:w="2126" w:type="dxa"/>
            <w:vAlign w:val="center"/>
            <w:hideMark/>
          </w:tcPr>
          <w:p w:rsidR="00444EFD" w:rsidRPr="00287A30" w:rsidRDefault="00444EFD" w:rsidP="00493711">
            <w:pPr>
              <w:spacing w:after="0" w:line="240" w:lineRule="auto"/>
              <w:jc w:val="center"/>
              <w:rPr>
                <w:b/>
                <w:bCs/>
                <w:sz w:val="18"/>
              </w:rPr>
            </w:pPr>
            <w:r w:rsidRPr="00287A30">
              <w:rPr>
                <w:b/>
                <w:bCs/>
                <w:sz w:val="18"/>
              </w:rPr>
              <w:t>Sous-Total</w:t>
            </w:r>
          </w:p>
        </w:tc>
        <w:tc>
          <w:tcPr>
            <w:tcW w:w="1417" w:type="dxa"/>
            <w:noWrap/>
            <w:vAlign w:val="center"/>
            <w:hideMark/>
          </w:tcPr>
          <w:p w:rsidR="00444EFD" w:rsidRPr="00287A30" w:rsidRDefault="00444EFD" w:rsidP="00493711">
            <w:pPr>
              <w:spacing w:after="0" w:line="240" w:lineRule="auto"/>
              <w:jc w:val="center"/>
              <w:rPr>
                <w:b/>
                <w:bCs/>
                <w:sz w:val="18"/>
              </w:rPr>
            </w:pPr>
            <w:r w:rsidRPr="00287A30">
              <w:rPr>
                <w:b/>
                <w:bCs/>
                <w:sz w:val="18"/>
              </w:rPr>
              <w:t>$3 269 431</w:t>
            </w:r>
          </w:p>
        </w:tc>
        <w:tc>
          <w:tcPr>
            <w:tcW w:w="1276" w:type="dxa"/>
            <w:noWrap/>
            <w:vAlign w:val="center"/>
            <w:hideMark/>
          </w:tcPr>
          <w:p w:rsidR="00444EFD" w:rsidRPr="00287A30" w:rsidRDefault="00444EFD" w:rsidP="00493711">
            <w:pPr>
              <w:spacing w:after="0" w:line="240" w:lineRule="auto"/>
              <w:jc w:val="center"/>
              <w:rPr>
                <w:b/>
                <w:bCs/>
                <w:sz w:val="18"/>
              </w:rPr>
            </w:pPr>
            <w:r w:rsidRPr="00287A30">
              <w:rPr>
                <w:b/>
                <w:bCs/>
                <w:sz w:val="18"/>
              </w:rPr>
              <w:t>$0</w:t>
            </w:r>
          </w:p>
        </w:tc>
        <w:tc>
          <w:tcPr>
            <w:tcW w:w="1276" w:type="dxa"/>
            <w:noWrap/>
            <w:vAlign w:val="center"/>
            <w:hideMark/>
          </w:tcPr>
          <w:p w:rsidR="00444EFD" w:rsidRPr="00287A30" w:rsidRDefault="00444EFD" w:rsidP="00493711">
            <w:pPr>
              <w:spacing w:after="0" w:line="240" w:lineRule="auto"/>
              <w:jc w:val="center"/>
              <w:rPr>
                <w:b/>
                <w:bCs/>
                <w:sz w:val="18"/>
              </w:rPr>
            </w:pPr>
            <w:r w:rsidRPr="00287A30">
              <w:rPr>
                <w:b/>
                <w:bCs/>
                <w:sz w:val="18"/>
              </w:rPr>
              <w:t>$0</w:t>
            </w:r>
          </w:p>
        </w:tc>
        <w:tc>
          <w:tcPr>
            <w:tcW w:w="1134" w:type="dxa"/>
            <w:noWrap/>
            <w:vAlign w:val="center"/>
            <w:hideMark/>
          </w:tcPr>
          <w:p w:rsidR="00444EFD" w:rsidRPr="00287A30" w:rsidRDefault="00444EFD" w:rsidP="00493711">
            <w:pPr>
              <w:spacing w:after="0" w:line="240" w:lineRule="auto"/>
              <w:jc w:val="center"/>
              <w:rPr>
                <w:b/>
                <w:bCs/>
                <w:sz w:val="18"/>
              </w:rPr>
            </w:pPr>
            <w:r w:rsidRPr="00287A30">
              <w:rPr>
                <w:b/>
                <w:bCs/>
                <w:sz w:val="18"/>
              </w:rPr>
              <w:t>$3 596 374</w:t>
            </w:r>
          </w:p>
        </w:tc>
        <w:tc>
          <w:tcPr>
            <w:tcW w:w="1276" w:type="dxa"/>
            <w:noWrap/>
            <w:vAlign w:val="center"/>
            <w:hideMark/>
          </w:tcPr>
          <w:p w:rsidR="00444EFD" w:rsidRPr="00287A30" w:rsidRDefault="00444EFD" w:rsidP="00493711">
            <w:pPr>
              <w:spacing w:after="0" w:line="240" w:lineRule="auto"/>
              <w:jc w:val="center"/>
              <w:rPr>
                <w:b/>
                <w:bCs/>
                <w:sz w:val="18"/>
              </w:rPr>
            </w:pPr>
            <w:r w:rsidRPr="00287A30">
              <w:rPr>
                <w:b/>
                <w:bCs/>
                <w:sz w:val="18"/>
              </w:rPr>
              <w:t>$0</w:t>
            </w:r>
          </w:p>
        </w:tc>
        <w:tc>
          <w:tcPr>
            <w:tcW w:w="1417" w:type="dxa"/>
            <w:noWrap/>
            <w:vAlign w:val="center"/>
            <w:hideMark/>
          </w:tcPr>
          <w:p w:rsidR="00444EFD" w:rsidRPr="00287A30" w:rsidRDefault="00444EFD" w:rsidP="00493711">
            <w:pPr>
              <w:spacing w:after="0" w:line="240" w:lineRule="auto"/>
              <w:jc w:val="center"/>
              <w:rPr>
                <w:b/>
                <w:bCs/>
                <w:sz w:val="18"/>
              </w:rPr>
            </w:pPr>
            <w:r w:rsidRPr="00287A30">
              <w:rPr>
                <w:b/>
                <w:bCs/>
                <w:sz w:val="18"/>
              </w:rPr>
              <w:t>$6 865 805</w:t>
            </w:r>
          </w:p>
        </w:tc>
      </w:tr>
      <w:tr w:rsidR="00287A30" w:rsidRPr="00444EFD" w:rsidTr="006B5811">
        <w:trPr>
          <w:trHeight w:val="300"/>
        </w:trPr>
        <w:tc>
          <w:tcPr>
            <w:tcW w:w="1419" w:type="dxa"/>
            <w:noWrap/>
            <w:hideMark/>
          </w:tcPr>
          <w:p w:rsidR="00444EFD" w:rsidRPr="00287A30" w:rsidRDefault="00444EFD" w:rsidP="00493711">
            <w:pPr>
              <w:spacing w:after="0" w:line="240" w:lineRule="auto"/>
              <w:rPr>
                <w:b/>
              </w:rPr>
            </w:pPr>
            <w:r w:rsidRPr="00287A30">
              <w:rPr>
                <w:b/>
              </w:rPr>
              <w:t>TOTAL</w:t>
            </w:r>
          </w:p>
        </w:tc>
        <w:tc>
          <w:tcPr>
            <w:tcW w:w="2126" w:type="dxa"/>
            <w:noWrap/>
            <w:vAlign w:val="center"/>
            <w:hideMark/>
          </w:tcPr>
          <w:p w:rsidR="00444EFD" w:rsidRPr="00287A30" w:rsidRDefault="00444EFD" w:rsidP="00493711">
            <w:pPr>
              <w:spacing w:after="0" w:line="240" w:lineRule="auto"/>
              <w:jc w:val="center"/>
              <w:rPr>
                <w:b/>
                <w:sz w:val="18"/>
              </w:rPr>
            </w:pPr>
          </w:p>
        </w:tc>
        <w:tc>
          <w:tcPr>
            <w:tcW w:w="1417" w:type="dxa"/>
            <w:noWrap/>
            <w:vAlign w:val="center"/>
            <w:hideMark/>
          </w:tcPr>
          <w:p w:rsidR="00444EFD" w:rsidRPr="00287A30" w:rsidRDefault="00444EFD" w:rsidP="00493711">
            <w:pPr>
              <w:spacing w:after="0" w:line="240" w:lineRule="auto"/>
              <w:jc w:val="center"/>
              <w:rPr>
                <w:b/>
                <w:sz w:val="18"/>
              </w:rPr>
            </w:pPr>
            <w:r w:rsidRPr="00287A30">
              <w:rPr>
                <w:b/>
                <w:sz w:val="18"/>
              </w:rPr>
              <w:t>$4 704 141</w:t>
            </w:r>
          </w:p>
        </w:tc>
        <w:tc>
          <w:tcPr>
            <w:tcW w:w="1276" w:type="dxa"/>
            <w:noWrap/>
            <w:vAlign w:val="center"/>
            <w:hideMark/>
          </w:tcPr>
          <w:p w:rsidR="00444EFD" w:rsidRPr="00287A30" w:rsidRDefault="00444EFD" w:rsidP="00493711">
            <w:pPr>
              <w:spacing w:after="0" w:line="240" w:lineRule="auto"/>
              <w:jc w:val="center"/>
              <w:rPr>
                <w:b/>
                <w:sz w:val="18"/>
              </w:rPr>
            </w:pPr>
            <w:r w:rsidRPr="00287A30">
              <w:rPr>
                <w:b/>
                <w:sz w:val="18"/>
              </w:rPr>
              <w:t>$1 265 201</w:t>
            </w:r>
          </w:p>
        </w:tc>
        <w:tc>
          <w:tcPr>
            <w:tcW w:w="1276" w:type="dxa"/>
            <w:noWrap/>
            <w:vAlign w:val="center"/>
            <w:hideMark/>
          </w:tcPr>
          <w:p w:rsidR="00444EFD" w:rsidRPr="00287A30" w:rsidRDefault="00444EFD" w:rsidP="00493711">
            <w:pPr>
              <w:spacing w:after="0" w:line="240" w:lineRule="auto"/>
              <w:jc w:val="center"/>
              <w:rPr>
                <w:b/>
                <w:sz w:val="18"/>
              </w:rPr>
            </w:pPr>
            <w:r w:rsidRPr="00287A30">
              <w:rPr>
                <w:b/>
                <w:sz w:val="18"/>
              </w:rPr>
              <w:t>$1 034 530</w:t>
            </w:r>
          </w:p>
        </w:tc>
        <w:tc>
          <w:tcPr>
            <w:tcW w:w="1134" w:type="dxa"/>
            <w:noWrap/>
            <w:vAlign w:val="center"/>
            <w:hideMark/>
          </w:tcPr>
          <w:p w:rsidR="00444EFD" w:rsidRPr="00287A30" w:rsidRDefault="00444EFD" w:rsidP="00493711">
            <w:pPr>
              <w:spacing w:after="0" w:line="240" w:lineRule="auto"/>
              <w:jc w:val="center"/>
              <w:rPr>
                <w:b/>
                <w:sz w:val="18"/>
              </w:rPr>
            </w:pPr>
            <w:r w:rsidRPr="00287A30">
              <w:rPr>
                <w:b/>
                <w:sz w:val="18"/>
              </w:rPr>
              <w:t>$4 788 657</w:t>
            </w:r>
          </w:p>
        </w:tc>
        <w:tc>
          <w:tcPr>
            <w:tcW w:w="1276" w:type="dxa"/>
            <w:noWrap/>
            <w:vAlign w:val="center"/>
            <w:hideMark/>
          </w:tcPr>
          <w:p w:rsidR="00444EFD" w:rsidRPr="00287A30" w:rsidRDefault="00444EFD" w:rsidP="00493711">
            <w:pPr>
              <w:spacing w:after="0" w:line="240" w:lineRule="auto"/>
              <w:jc w:val="center"/>
              <w:rPr>
                <w:b/>
                <w:sz w:val="18"/>
              </w:rPr>
            </w:pPr>
            <w:r w:rsidRPr="00287A30">
              <w:rPr>
                <w:b/>
                <w:sz w:val="18"/>
              </w:rPr>
              <w:t>$1 351 031</w:t>
            </w:r>
          </w:p>
        </w:tc>
        <w:tc>
          <w:tcPr>
            <w:tcW w:w="1417" w:type="dxa"/>
            <w:noWrap/>
            <w:vAlign w:val="center"/>
            <w:hideMark/>
          </w:tcPr>
          <w:p w:rsidR="00444EFD" w:rsidRPr="00287A30" w:rsidRDefault="00444EFD" w:rsidP="00493711">
            <w:pPr>
              <w:spacing w:after="0" w:line="240" w:lineRule="auto"/>
              <w:jc w:val="center"/>
              <w:rPr>
                <w:b/>
                <w:sz w:val="18"/>
              </w:rPr>
            </w:pPr>
            <w:r w:rsidRPr="00287A30">
              <w:rPr>
                <w:b/>
                <w:sz w:val="18"/>
              </w:rPr>
              <w:t>$13 143 560</w:t>
            </w:r>
          </w:p>
        </w:tc>
      </w:tr>
    </w:tbl>
    <w:p w:rsidR="00224FE1" w:rsidRDefault="00224FE1" w:rsidP="00580D02"/>
    <w:p w:rsidR="007B20A8" w:rsidRDefault="007B20A8" w:rsidP="00580D02"/>
    <w:p w:rsidR="00621BF1" w:rsidRPr="00621BF1" w:rsidRDefault="00580D02" w:rsidP="00580D02">
      <w:pPr>
        <w:pStyle w:val="Titre3"/>
      </w:pPr>
      <w:bookmarkStart w:id="205" w:name="_Toc458593672"/>
      <w:r w:rsidRPr="00621BF1">
        <w:t>SOURCES DE FINANCEMENTS DES BESOINS DU PROGRAMME</w:t>
      </w:r>
      <w:bookmarkEnd w:id="205"/>
    </w:p>
    <w:p w:rsidR="00580D02" w:rsidRDefault="00580D02" w:rsidP="00621BF1">
      <w:pPr>
        <w:autoSpaceDE w:val="0"/>
        <w:autoSpaceDN w:val="0"/>
        <w:adjustRightInd w:val="0"/>
        <w:spacing w:line="240" w:lineRule="auto"/>
        <w:jc w:val="both"/>
        <w:rPr>
          <w:rFonts w:cs="Times New Roman"/>
          <w:bCs/>
          <w:color w:val="000000"/>
          <w:sz w:val="24"/>
          <w:szCs w:val="24"/>
        </w:rPr>
      </w:pPr>
    </w:p>
    <w:p w:rsidR="00621BF1" w:rsidRPr="00621BF1" w:rsidRDefault="00621BF1" w:rsidP="00621BF1">
      <w:pPr>
        <w:autoSpaceDE w:val="0"/>
        <w:autoSpaceDN w:val="0"/>
        <w:adjustRightInd w:val="0"/>
        <w:spacing w:line="240" w:lineRule="auto"/>
        <w:jc w:val="both"/>
        <w:rPr>
          <w:rFonts w:cs="Times New Roman"/>
          <w:bCs/>
          <w:color w:val="000000"/>
          <w:sz w:val="24"/>
          <w:szCs w:val="24"/>
        </w:rPr>
      </w:pPr>
      <w:r w:rsidRPr="00621BF1">
        <w:rPr>
          <w:rFonts w:cs="Times New Roman"/>
          <w:bCs/>
          <w:color w:val="000000"/>
          <w:sz w:val="24"/>
          <w:szCs w:val="24"/>
        </w:rPr>
        <w:t>Dans l’appréciation des ressources sécurisées pour financer la vaccination, il a été tenu compte des engagements concrets des partenaires et du Gouvernement qui a le devoir constitutionnel d’assurer et de promouvoir la santé dans le pays.</w:t>
      </w:r>
    </w:p>
    <w:p w:rsidR="00621BF1" w:rsidRPr="00621BF1" w:rsidRDefault="00621BF1" w:rsidP="00621BF1">
      <w:pPr>
        <w:autoSpaceDE w:val="0"/>
        <w:autoSpaceDN w:val="0"/>
        <w:adjustRightInd w:val="0"/>
        <w:spacing w:after="0" w:line="240" w:lineRule="auto"/>
        <w:jc w:val="both"/>
        <w:rPr>
          <w:rFonts w:cs="Times New Roman"/>
          <w:bCs/>
          <w:color w:val="000000"/>
          <w:sz w:val="24"/>
          <w:szCs w:val="24"/>
        </w:rPr>
      </w:pPr>
      <w:r w:rsidRPr="00621BF1">
        <w:rPr>
          <w:rFonts w:cs="Times New Roman"/>
          <w:color w:val="000000"/>
          <w:sz w:val="24"/>
          <w:szCs w:val="24"/>
        </w:rPr>
        <w:t>Le tableau suivant montre les contributions financières et les écarts qui en découlent par rapport aux besoins totaux.</w:t>
      </w:r>
      <w:r w:rsidRPr="00621BF1">
        <w:rPr>
          <w:rFonts w:cs="Times New Roman"/>
          <w:bCs/>
          <w:color w:val="000000"/>
          <w:sz w:val="24"/>
          <w:szCs w:val="24"/>
        </w:rPr>
        <w:t xml:space="preserve"> </w:t>
      </w:r>
    </w:p>
    <w:p w:rsidR="00621BF1" w:rsidRPr="00621BF1" w:rsidRDefault="00621BF1" w:rsidP="00621BF1">
      <w:pPr>
        <w:autoSpaceDE w:val="0"/>
        <w:autoSpaceDN w:val="0"/>
        <w:adjustRightInd w:val="0"/>
        <w:spacing w:before="240" w:after="0" w:line="240" w:lineRule="auto"/>
        <w:jc w:val="center"/>
        <w:rPr>
          <w:rFonts w:cs="Times New Roman"/>
          <w:b/>
          <w:bCs/>
          <w:color w:val="000000"/>
          <w:sz w:val="24"/>
          <w:szCs w:val="24"/>
        </w:rPr>
        <w:sectPr w:rsidR="00621BF1" w:rsidRPr="00621BF1" w:rsidSect="00621BF1">
          <w:type w:val="continuous"/>
          <w:pgSz w:w="11906" w:h="16838"/>
          <w:pgMar w:top="1417" w:right="1417" w:bottom="1417" w:left="1417" w:header="708" w:footer="708" w:gutter="0"/>
          <w:cols w:space="708"/>
          <w:docGrid w:linePitch="360"/>
        </w:sectPr>
      </w:pPr>
    </w:p>
    <w:p w:rsidR="00621BF1" w:rsidRPr="00621BF1" w:rsidRDefault="00580D02" w:rsidP="00580D02">
      <w:pPr>
        <w:pStyle w:val="Lgende"/>
        <w:rPr>
          <w:rFonts w:cs="Times New Roman"/>
          <w:b/>
          <w:bCs/>
          <w:color w:val="000000"/>
          <w:szCs w:val="24"/>
        </w:rPr>
      </w:pPr>
      <w:bookmarkStart w:id="206" w:name="_Toc456109497"/>
      <w:r>
        <w:lastRenderedPageBreak/>
        <w:t xml:space="preserve">Tableau </w:t>
      </w:r>
      <w:r w:rsidR="00B51B2E">
        <w:fldChar w:fldCharType="begin"/>
      </w:r>
      <w:r>
        <w:instrText xml:space="preserve"> SEQ Tableau \* ARABIC </w:instrText>
      </w:r>
      <w:r w:rsidR="00B51B2E">
        <w:fldChar w:fldCharType="separate"/>
      </w:r>
      <w:r w:rsidR="00DC4EEF">
        <w:rPr>
          <w:noProof/>
        </w:rPr>
        <w:t>31</w:t>
      </w:r>
      <w:r w:rsidR="00B51B2E">
        <w:fldChar w:fldCharType="end"/>
      </w:r>
      <w:r>
        <w:t xml:space="preserve">: </w:t>
      </w:r>
      <w:r w:rsidRPr="00885D6C">
        <w:t>Détermination des écarts de financements</w:t>
      </w:r>
      <w:bookmarkEnd w:id="206"/>
    </w:p>
    <w:tbl>
      <w:tblPr>
        <w:tblpPr w:leftFromText="141" w:rightFromText="141" w:vertAnchor="text" w:horzAnchor="page" w:tblpX="125" w:tblpY="135"/>
        <w:tblW w:w="16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3"/>
        <w:gridCol w:w="1298"/>
        <w:gridCol w:w="440"/>
        <w:gridCol w:w="1378"/>
        <w:gridCol w:w="560"/>
        <w:gridCol w:w="1530"/>
        <w:gridCol w:w="440"/>
        <w:gridCol w:w="1508"/>
        <w:gridCol w:w="440"/>
        <w:gridCol w:w="1558"/>
        <w:gridCol w:w="440"/>
        <w:gridCol w:w="1747"/>
        <w:gridCol w:w="502"/>
      </w:tblGrid>
      <w:tr w:rsidR="00DC4EEF" w:rsidRPr="00570619" w:rsidTr="00AA70AB">
        <w:trPr>
          <w:trHeight w:val="307"/>
        </w:trPr>
        <w:tc>
          <w:tcPr>
            <w:tcW w:w="4633" w:type="dxa"/>
            <w:vMerge w:val="restart"/>
            <w:shd w:val="clear" w:color="4F81BD" w:fill="4F81BD"/>
            <w:vAlign w:val="center"/>
            <w:hideMark/>
          </w:tcPr>
          <w:p w:rsidR="00F95CB7" w:rsidRPr="00BD71BB"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Besoins en ressources : financement et écarts</w:t>
            </w:r>
          </w:p>
        </w:tc>
        <w:tc>
          <w:tcPr>
            <w:tcW w:w="1735" w:type="dxa"/>
            <w:gridSpan w:val="2"/>
            <w:shd w:val="clear" w:color="4F81BD" w:fill="4F81BD"/>
            <w:vAlign w:val="center"/>
            <w:hideMark/>
          </w:tcPr>
          <w:p w:rsidR="00F95CB7" w:rsidRPr="00570619"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2016</w:t>
            </w:r>
          </w:p>
        </w:tc>
        <w:tc>
          <w:tcPr>
            <w:tcW w:w="1378" w:type="dxa"/>
            <w:shd w:val="clear" w:color="4F81BD" w:fill="4F81BD"/>
            <w:vAlign w:val="center"/>
            <w:hideMark/>
          </w:tcPr>
          <w:p w:rsidR="00F95CB7" w:rsidRPr="00BD71BB"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2017</w:t>
            </w:r>
          </w:p>
        </w:tc>
        <w:tc>
          <w:tcPr>
            <w:tcW w:w="568" w:type="dxa"/>
            <w:shd w:val="clear" w:color="4F81BD" w:fill="4F81BD"/>
            <w:vAlign w:val="center"/>
          </w:tcPr>
          <w:p w:rsidR="00F95CB7" w:rsidRPr="00570619"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p>
        </w:tc>
        <w:tc>
          <w:tcPr>
            <w:tcW w:w="1530" w:type="dxa"/>
            <w:shd w:val="clear" w:color="4F81BD" w:fill="4F81BD"/>
            <w:vAlign w:val="center"/>
            <w:hideMark/>
          </w:tcPr>
          <w:p w:rsidR="00F95CB7" w:rsidRPr="00BD71BB"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2018</w:t>
            </w:r>
          </w:p>
        </w:tc>
        <w:tc>
          <w:tcPr>
            <w:tcW w:w="437" w:type="dxa"/>
            <w:shd w:val="clear" w:color="4F81BD" w:fill="4F81BD"/>
            <w:vAlign w:val="center"/>
          </w:tcPr>
          <w:p w:rsidR="00F95CB7" w:rsidRPr="00570619"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p>
        </w:tc>
        <w:tc>
          <w:tcPr>
            <w:tcW w:w="1508" w:type="dxa"/>
            <w:shd w:val="clear" w:color="4F81BD" w:fill="4F81BD"/>
            <w:vAlign w:val="center"/>
            <w:hideMark/>
          </w:tcPr>
          <w:p w:rsidR="00F95CB7" w:rsidRPr="00BD71BB"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2019</w:t>
            </w:r>
          </w:p>
        </w:tc>
        <w:tc>
          <w:tcPr>
            <w:tcW w:w="437" w:type="dxa"/>
            <w:shd w:val="clear" w:color="4F81BD" w:fill="4F81BD"/>
            <w:vAlign w:val="center"/>
          </w:tcPr>
          <w:p w:rsidR="00F95CB7" w:rsidRPr="00570619"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p>
        </w:tc>
        <w:tc>
          <w:tcPr>
            <w:tcW w:w="1558" w:type="dxa"/>
            <w:shd w:val="clear" w:color="4F81BD" w:fill="4F81BD"/>
            <w:vAlign w:val="center"/>
            <w:hideMark/>
          </w:tcPr>
          <w:p w:rsidR="00F95CB7" w:rsidRPr="00BD71BB"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2020</w:t>
            </w:r>
          </w:p>
        </w:tc>
        <w:tc>
          <w:tcPr>
            <w:tcW w:w="437" w:type="dxa"/>
            <w:shd w:val="clear" w:color="4F81BD" w:fill="4F81BD"/>
            <w:vAlign w:val="center"/>
          </w:tcPr>
          <w:p w:rsidR="00F95CB7" w:rsidRPr="00570619"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p>
        </w:tc>
        <w:tc>
          <w:tcPr>
            <w:tcW w:w="1747" w:type="dxa"/>
            <w:shd w:val="clear" w:color="4F81BD" w:fill="4F81BD"/>
            <w:vAlign w:val="center"/>
            <w:hideMark/>
          </w:tcPr>
          <w:p w:rsidR="00F95CB7" w:rsidRPr="00BD71BB"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2016 - 2020</w:t>
            </w:r>
          </w:p>
        </w:tc>
        <w:tc>
          <w:tcPr>
            <w:tcW w:w="506" w:type="dxa"/>
            <w:shd w:val="clear" w:color="4F81BD" w:fill="4F81BD"/>
            <w:vAlign w:val="center"/>
          </w:tcPr>
          <w:p w:rsidR="00F95CB7" w:rsidRPr="00BD71BB"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p>
        </w:tc>
      </w:tr>
      <w:tr w:rsidR="00DC4EEF" w:rsidRPr="00570619" w:rsidTr="00AA70AB">
        <w:trPr>
          <w:trHeight w:val="321"/>
        </w:trPr>
        <w:tc>
          <w:tcPr>
            <w:tcW w:w="4633" w:type="dxa"/>
            <w:vMerge/>
            <w:shd w:val="clear" w:color="4F81BD" w:fill="4F81BD"/>
            <w:noWrap/>
            <w:vAlign w:val="center"/>
          </w:tcPr>
          <w:p w:rsidR="00F95CB7" w:rsidRPr="00BD71BB" w:rsidRDefault="00F95CB7" w:rsidP="00F95CB7">
            <w:pPr>
              <w:spacing w:after="0" w:line="240" w:lineRule="auto"/>
              <w:jc w:val="center"/>
              <w:rPr>
                <w:rFonts w:ascii="Times New Roman" w:eastAsia="Times New Roman" w:hAnsi="Times New Roman" w:cs="Times New Roman"/>
                <w:b/>
                <w:bCs/>
                <w:color w:val="FFFFFF"/>
                <w:sz w:val="20"/>
                <w:szCs w:val="20"/>
                <w:lang w:eastAsia="fr-FR"/>
              </w:rPr>
            </w:pPr>
          </w:p>
        </w:tc>
        <w:tc>
          <w:tcPr>
            <w:tcW w:w="1298" w:type="dxa"/>
            <w:shd w:val="clear" w:color="000000" w:fill="DCE6F1"/>
            <w:noWrap/>
            <w:vAlign w:val="center"/>
          </w:tcPr>
          <w:p w:rsidR="00F95CB7" w:rsidRPr="00BD71BB"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Montant</w:t>
            </w:r>
          </w:p>
        </w:tc>
        <w:tc>
          <w:tcPr>
            <w:tcW w:w="437" w:type="dxa"/>
            <w:shd w:val="clear" w:color="000000" w:fill="DCE6F1"/>
            <w:vAlign w:val="center"/>
          </w:tcPr>
          <w:p w:rsidR="00F95CB7" w:rsidRPr="00570619"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w:t>
            </w:r>
          </w:p>
        </w:tc>
        <w:tc>
          <w:tcPr>
            <w:tcW w:w="1378" w:type="dxa"/>
            <w:shd w:val="clear" w:color="000000" w:fill="DCE6F1"/>
            <w:noWrap/>
            <w:vAlign w:val="center"/>
          </w:tcPr>
          <w:p w:rsidR="00F95CB7" w:rsidRPr="00BD71BB"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Montant</w:t>
            </w:r>
          </w:p>
        </w:tc>
        <w:tc>
          <w:tcPr>
            <w:tcW w:w="568" w:type="dxa"/>
            <w:shd w:val="clear" w:color="000000" w:fill="DCE6F1"/>
            <w:vAlign w:val="center"/>
          </w:tcPr>
          <w:p w:rsidR="00F95CB7" w:rsidRPr="00570619"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w:t>
            </w:r>
          </w:p>
        </w:tc>
        <w:tc>
          <w:tcPr>
            <w:tcW w:w="1530" w:type="dxa"/>
            <w:shd w:val="clear" w:color="000000" w:fill="DCE6F1"/>
            <w:noWrap/>
            <w:vAlign w:val="center"/>
          </w:tcPr>
          <w:p w:rsidR="00F95CB7" w:rsidRPr="00BD71BB"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Montant</w:t>
            </w:r>
          </w:p>
        </w:tc>
        <w:tc>
          <w:tcPr>
            <w:tcW w:w="437" w:type="dxa"/>
            <w:shd w:val="clear" w:color="000000" w:fill="DCE6F1"/>
            <w:vAlign w:val="center"/>
          </w:tcPr>
          <w:p w:rsidR="00F95CB7" w:rsidRPr="00570619"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w:t>
            </w:r>
          </w:p>
        </w:tc>
        <w:tc>
          <w:tcPr>
            <w:tcW w:w="1508" w:type="dxa"/>
            <w:shd w:val="clear" w:color="000000" w:fill="DCE6F1"/>
            <w:noWrap/>
            <w:vAlign w:val="center"/>
          </w:tcPr>
          <w:p w:rsidR="00F95CB7" w:rsidRPr="00BD71BB"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Montant</w:t>
            </w:r>
          </w:p>
        </w:tc>
        <w:tc>
          <w:tcPr>
            <w:tcW w:w="437" w:type="dxa"/>
            <w:shd w:val="clear" w:color="000000" w:fill="DCE6F1"/>
            <w:vAlign w:val="center"/>
          </w:tcPr>
          <w:p w:rsidR="00F95CB7" w:rsidRPr="00570619"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w:t>
            </w:r>
          </w:p>
        </w:tc>
        <w:tc>
          <w:tcPr>
            <w:tcW w:w="1558" w:type="dxa"/>
            <w:shd w:val="clear" w:color="000000" w:fill="DCE6F1"/>
            <w:noWrap/>
            <w:vAlign w:val="center"/>
          </w:tcPr>
          <w:p w:rsidR="00F95CB7" w:rsidRPr="00BD71BB"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Montant</w:t>
            </w:r>
          </w:p>
        </w:tc>
        <w:tc>
          <w:tcPr>
            <w:tcW w:w="437" w:type="dxa"/>
            <w:shd w:val="clear" w:color="000000" w:fill="DCE6F1"/>
            <w:vAlign w:val="center"/>
          </w:tcPr>
          <w:p w:rsidR="00F95CB7" w:rsidRPr="00570619"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w:t>
            </w:r>
          </w:p>
        </w:tc>
        <w:tc>
          <w:tcPr>
            <w:tcW w:w="1747" w:type="dxa"/>
            <w:shd w:val="clear" w:color="000000" w:fill="DCE6F1"/>
            <w:noWrap/>
            <w:vAlign w:val="center"/>
          </w:tcPr>
          <w:p w:rsidR="00F95CB7" w:rsidRPr="00BD71BB"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Montant</w:t>
            </w:r>
          </w:p>
        </w:tc>
        <w:tc>
          <w:tcPr>
            <w:tcW w:w="506" w:type="dxa"/>
            <w:shd w:val="clear" w:color="000000" w:fill="DCE6F1"/>
            <w:vAlign w:val="center"/>
          </w:tcPr>
          <w:p w:rsidR="00F95CB7" w:rsidRPr="00570619" w:rsidRDefault="00F95CB7" w:rsidP="00F95CB7">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w:t>
            </w:r>
          </w:p>
        </w:tc>
      </w:tr>
      <w:tr w:rsidR="00DC4EEF" w:rsidRPr="00570619" w:rsidTr="00AA70AB">
        <w:trPr>
          <w:trHeight w:val="321"/>
        </w:trPr>
        <w:tc>
          <w:tcPr>
            <w:tcW w:w="4633" w:type="dxa"/>
            <w:shd w:val="clear" w:color="4F81BD" w:fill="4F81BD"/>
            <w:noWrap/>
            <w:vAlign w:val="bottom"/>
            <w:hideMark/>
          </w:tcPr>
          <w:p w:rsidR="00F95CB7" w:rsidRPr="00BD71BB" w:rsidRDefault="00F95CB7" w:rsidP="00F95CB7">
            <w:pPr>
              <w:spacing w:after="0" w:line="240" w:lineRule="auto"/>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Total : ressources nécessaires</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w:t>
            </w:r>
            <w:r w:rsidRPr="00570619">
              <w:rPr>
                <w:rFonts w:ascii="Times New Roman" w:eastAsia="Times New Roman" w:hAnsi="Times New Roman" w:cs="Times New Roman"/>
                <w:b/>
                <w:bCs/>
                <w:sz w:val="20"/>
                <w:szCs w:val="20"/>
                <w:lang w:eastAsia="fr-FR"/>
              </w:rPr>
              <w:t xml:space="preserve"> </w:t>
            </w:r>
            <w:r w:rsidRPr="00BD71BB">
              <w:rPr>
                <w:rFonts w:ascii="Times New Roman" w:eastAsia="Times New Roman" w:hAnsi="Times New Roman" w:cs="Times New Roman"/>
                <w:b/>
                <w:bCs/>
                <w:sz w:val="20"/>
                <w:szCs w:val="20"/>
                <w:lang w:eastAsia="fr-FR"/>
              </w:rPr>
              <w:t xml:space="preserve">22 805 550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100</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w:t>
            </w:r>
            <w:r w:rsidRPr="00570619">
              <w:rPr>
                <w:rFonts w:ascii="Times New Roman" w:eastAsia="Times New Roman" w:hAnsi="Times New Roman" w:cs="Times New Roman"/>
                <w:b/>
                <w:bCs/>
                <w:sz w:val="20"/>
                <w:szCs w:val="20"/>
                <w:lang w:eastAsia="fr-FR"/>
              </w:rPr>
              <w:t xml:space="preserve"> </w:t>
            </w:r>
            <w:r w:rsidRPr="00BD71BB">
              <w:rPr>
                <w:rFonts w:ascii="Times New Roman" w:eastAsia="Times New Roman" w:hAnsi="Times New Roman" w:cs="Times New Roman"/>
                <w:b/>
                <w:bCs/>
                <w:sz w:val="20"/>
                <w:szCs w:val="20"/>
                <w:lang w:eastAsia="fr-FR"/>
              </w:rPr>
              <w:t xml:space="preserve">  22 558 331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100</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25 886 700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100</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31 210 463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100</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27 708 666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100</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130 169 710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100</w:t>
            </w:r>
          </w:p>
        </w:tc>
      </w:tr>
      <w:tr w:rsidR="00DC4EEF" w:rsidRPr="00570619" w:rsidTr="00AA70AB">
        <w:trPr>
          <w:trHeight w:val="321"/>
        </w:trPr>
        <w:tc>
          <w:tcPr>
            <w:tcW w:w="4633" w:type="dxa"/>
            <w:shd w:val="clear" w:color="4F81BD" w:fill="4F81BD"/>
            <w:noWrap/>
            <w:vAlign w:val="bottom"/>
            <w:hideMark/>
          </w:tcPr>
          <w:p w:rsidR="00F95CB7" w:rsidRPr="00BD71BB" w:rsidRDefault="00F95CB7" w:rsidP="00F95CB7">
            <w:pPr>
              <w:spacing w:after="0" w:line="240" w:lineRule="auto"/>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Total : ressources nécessaires (systématique seulement)</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570619">
              <w:rPr>
                <w:rFonts w:ascii="Times New Roman" w:eastAsia="Times New Roman" w:hAnsi="Times New Roman" w:cs="Times New Roman"/>
                <w:b/>
                <w:bCs/>
                <w:sz w:val="20"/>
                <w:szCs w:val="20"/>
                <w:lang w:eastAsia="fr-FR"/>
              </w:rPr>
              <w:t xml:space="preserve">$  </w:t>
            </w:r>
            <w:r w:rsidRPr="00BD71BB">
              <w:rPr>
                <w:rFonts w:ascii="Times New Roman" w:eastAsia="Times New Roman" w:hAnsi="Times New Roman" w:cs="Times New Roman"/>
                <w:b/>
                <w:bCs/>
                <w:sz w:val="20"/>
                <w:szCs w:val="20"/>
                <w:lang w:eastAsia="fr-FR"/>
              </w:rPr>
              <w:t xml:space="preserve">12 838 556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56</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570619">
              <w:rPr>
                <w:rFonts w:ascii="Times New Roman" w:eastAsia="Times New Roman" w:hAnsi="Times New Roman" w:cs="Times New Roman"/>
                <w:b/>
                <w:bCs/>
                <w:sz w:val="20"/>
                <w:szCs w:val="20"/>
                <w:lang w:eastAsia="fr-FR"/>
              </w:rPr>
              <w:t xml:space="preserve">$    </w:t>
            </w:r>
            <w:r w:rsidRPr="00BD71BB">
              <w:rPr>
                <w:rFonts w:ascii="Times New Roman" w:eastAsia="Times New Roman" w:hAnsi="Times New Roman" w:cs="Times New Roman"/>
                <w:b/>
                <w:bCs/>
                <w:sz w:val="20"/>
                <w:szCs w:val="20"/>
                <w:lang w:eastAsia="fr-FR"/>
              </w:rPr>
              <w:t xml:space="preserve">15 305 265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68</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570619">
              <w:rPr>
                <w:rFonts w:ascii="Times New Roman" w:eastAsia="Times New Roman" w:hAnsi="Times New Roman" w:cs="Times New Roman"/>
                <w:b/>
                <w:bCs/>
                <w:sz w:val="20"/>
                <w:szCs w:val="20"/>
                <w:lang w:eastAsia="fr-FR"/>
              </w:rPr>
              <w:t xml:space="preserve">$       </w:t>
            </w:r>
            <w:r w:rsidRPr="00BD71BB">
              <w:rPr>
                <w:rFonts w:ascii="Times New Roman" w:eastAsia="Times New Roman" w:hAnsi="Times New Roman" w:cs="Times New Roman"/>
                <w:b/>
                <w:bCs/>
                <w:sz w:val="20"/>
                <w:szCs w:val="20"/>
                <w:lang w:eastAsia="fr-FR"/>
              </w:rPr>
              <w:t xml:space="preserve">18 394 900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71</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570619">
              <w:rPr>
                <w:rFonts w:ascii="Times New Roman" w:eastAsia="Times New Roman" w:hAnsi="Times New Roman" w:cs="Times New Roman"/>
                <w:b/>
                <w:bCs/>
                <w:sz w:val="20"/>
                <w:szCs w:val="20"/>
                <w:lang w:eastAsia="fr-FR"/>
              </w:rPr>
              <w:t xml:space="preserve">$       </w:t>
            </w:r>
            <w:r w:rsidRPr="00BD71BB">
              <w:rPr>
                <w:rFonts w:ascii="Times New Roman" w:eastAsia="Times New Roman" w:hAnsi="Times New Roman" w:cs="Times New Roman"/>
                <w:b/>
                <w:bCs/>
                <w:sz w:val="20"/>
                <w:szCs w:val="20"/>
                <w:lang w:eastAsia="fr-FR"/>
              </w:rPr>
              <w:t xml:space="preserve">20 220 589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65</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570619">
              <w:rPr>
                <w:rFonts w:ascii="Times New Roman" w:eastAsia="Times New Roman" w:hAnsi="Times New Roman" w:cs="Times New Roman"/>
                <w:b/>
                <w:bCs/>
                <w:sz w:val="20"/>
                <w:szCs w:val="20"/>
                <w:lang w:eastAsia="fr-FR"/>
              </w:rPr>
              <w:t xml:space="preserve">$       </w:t>
            </w:r>
            <w:r w:rsidRPr="00BD71BB">
              <w:rPr>
                <w:rFonts w:ascii="Times New Roman" w:eastAsia="Times New Roman" w:hAnsi="Times New Roman" w:cs="Times New Roman"/>
                <w:b/>
                <w:bCs/>
                <w:sz w:val="20"/>
                <w:szCs w:val="20"/>
                <w:lang w:eastAsia="fr-FR"/>
              </w:rPr>
              <w:t xml:space="preserve">20 290 941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73</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570619">
              <w:rPr>
                <w:rFonts w:ascii="Times New Roman" w:eastAsia="Times New Roman" w:hAnsi="Times New Roman" w:cs="Times New Roman"/>
                <w:b/>
                <w:bCs/>
                <w:sz w:val="20"/>
                <w:szCs w:val="20"/>
                <w:lang w:eastAsia="fr-FR"/>
              </w:rPr>
              <w:t xml:space="preserve">$       </w:t>
            </w:r>
            <w:r w:rsidRPr="00BD71BB">
              <w:rPr>
                <w:rFonts w:ascii="Times New Roman" w:eastAsia="Times New Roman" w:hAnsi="Times New Roman" w:cs="Times New Roman"/>
                <w:b/>
                <w:bCs/>
                <w:sz w:val="20"/>
                <w:szCs w:val="20"/>
                <w:lang w:eastAsia="fr-FR"/>
              </w:rPr>
              <w:t xml:space="preserve">87 050 251  </w:t>
            </w:r>
          </w:p>
        </w:tc>
        <w:tc>
          <w:tcPr>
            <w:tcW w:w="506"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67</w:t>
            </w:r>
          </w:p>
        </w:tc>
      </w:tr>
      <w:tr w:rsidR="00DC4EEF" w:rsidRPr="00570619"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Par habitant</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1,16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1,35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1,59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1,71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1,68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1,50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p>
        </w:tc>
      </w:tr>
      <w:tr w:rsidR="00DC4EEF" w:rsidRPr="00570619"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Par enfant ciblé vacciné contre la DTC</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59,02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62,32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67,15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66,65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60,66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63,31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p>
        </w:tc>
      </w:tr>
      <w:tr w:rsidR="00DC4EEF" w:rsidRPr="00570619" w:rsidTr="00AA70AB">
        <w:trPr>
          <w:trHeight w:val="321"/>
        </w:trPr>
        <w:tc>
          <w:tcPr>
            <w:tcW w:w="4633" w:type="dxa"/>
            <w:shd w:val="clear" w:color="4F81BD" w:fill="4F81BD"/>
            <w:noWrap/>
            <w:vAlign w:val="bottom"/>
            <w:hideMark/>
          </w:tcPr>
          <w:p w:rsidR="00F95CB7" w:rsidRPr="00BD71BB" w:rsidRDefault="00F95CB7" w:rsidP="00F95CB7">
            <w:pPr>
              <w:spacing w:after="0" w:line="240" w:lineRule="auto"/>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 xml:space="preserve">Total financement sécurisé </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$ 21 912 978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96</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21 616 144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96</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21 591 999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83</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25 441 569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82</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22 553 115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81</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113 115 805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87</w:t>
            </w:r>
          </w:p>
        </w:tc>
      </w:tr>
      <w:tr w:rsidR="00DC4EEF" w:rsidRPr="00570619"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color w:val="1F497D"/>
                <w:sz w:val="20"/>
                <w:szCs w:val="20"/>
                <w:u w:val="single"/>
                <w:lang w:eastAsia="fr-FR"/>
              </w:rPr>
            </w:pPr>
            <w:r w:rsidRPr="00BD71BB">
              <w:rPr>
                <w:rFonts w:ascii="Times New Roman" w:eastAsia="Times New Roman" w:hAnsi="Times New Roman" w:cs="Times New Roman"/>
                <w:color w:val="1F497D"/>
                <w:sz w:val="20"/>
                <w:szCs w:val="20"/>
                <w:u w:val="single"/>
                <w:lang w:eastAsia="fr-FR"/>
              </w:rPr>
              <w:t>Gouvernement</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3 179 592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14</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3 135 402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14</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3 693 151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14</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2 073 579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7</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3 414 165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12</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15 495 889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12</w:t>
            </w:r>
          </w:p>
        </w:tc>
      </w:tr>
      <w:tr w:rsidR="00DC4EEF" w:rsidRPr="00570619"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color w:val="1F497D"/>
                <w:sz w:val="20"/>
                <w:szCs w:val="20"/>
                <w:u w:val="single"/>
                <w:lang w:eastAsia="fr-FR"/>
              </w:rPr>
            </w:pPr>
            <w:r w:rsidRPr="00570619">
              <w:rPr>
                <w:rFonts w:ascii="Times New Roman" w:eastAsia="Times New Roman" w:hAnsi="Times New Roman" w:cs="Times New Roman"/>
                <w:color w:val="1F497D"/>
                <w:sz w:val="20"/>
                <w:szCs w:val="20"/>
                <w:u w:val="single"/>
                <w:lang w:eastAsia="fr-FR"/>
              </w:rPr>
              <w:t>C</w:t>
            </w:r>
            <w:r>
              <w:rPr>
                <w:rFonts w:ascii="Times New Roman" w:eastAsia="Times New Roman" w:hAnsi="Times New Roman" w:cs="Times New Roman"/>
                <w:color w:val="1F497D"/>
                <w:sz w:val="20"/>
                <w:szCs w:val="20"/>
                <w:u w:val="single"/>
                <w:lang w:eastAsia="fr-FR"/>
              </w:rPr>
              <w:t>ofinancement du G</w:t>
            </w:r>
            <w:r w:rsidRPr="00BD71BB">
              <w:rPr>
                <w:rFonts w:ascii="Times New Roman" w:eastAsia="Times New Roman" w:hAnsi="Times New Roman" w:cs="Times New Roman"/>
                <w:color w:val="1F497D"/>
                <w:sz w:val="20"/>
                <w:szCs w:val="20"/>
                <w:u w:val="single"/>
                <w:lang w:eastAsia="fr-FR"/>
              </w:rPr>
              <w:t xml:space="preserve">ouvernement </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255 315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460 009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952 601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4</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1 414 302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5</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1 449 350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5</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4 531 577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w:t>
            </w:r>
          </w:p>
        </w:tc>
      </w:tr>
      <w:tr w:rsidR="00DC4EEF" w:rsidRPr="00570619"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color w:val="1F497D"/>
                <w:sz w:val="20"/>
                <w:szCs w:val="20"/>
                <w:u w:val="single"/>
                <w:lang w:eastAsia="fr-FR"/>
              </w:rPr>
            </w:pPr>
            <w:r w:rsidRPr="00BD71BB">
              <w:rPr>
                <w:rFonts w:ascii="Times New Roman" w:eastAsia="Times New Roman" w:hAnsi="Times New Roman" w:cs="Times New Roman"/>
                <w:color w:val="1F497D"/>
                <w:sz w:val="20"/>
                <w:szCs w:val="20"/>
                <w:u w:val="single"/>
                <w:lang w:eastAsia="fr-FR"/>
              </w:rPr>
              <w:t>GAVI</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6 555 221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29</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7 431 269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33</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9 454 448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37</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9 710 895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31</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10 271 877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37</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43 423 710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33</w:t>
            </w:r>
          </w:p>
        </w:tc>
      </w:tr>
      <w:tr w:rsidR="00DC4EEF" w:rsidRPr="00570619"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color w:val="1F497D"/>
                <w:sz w:val="20"/>
                <w:szCs w:val="20"/>
                <w:u w:val="single"/>
                <w:lang w:eastAsia="fr-FR"/>
              </w:rPr>
            </w:pPr>
            <w:r w:rsidRPr="00BD71BB">
              <w:rPr>
                <w:rFonts w:ascii="Times New Roman" w:eastAsia="Times New Roman" w:hAnsi="Times New Roman" w:cs="Times New Roman"/>
                <w:color w:val="1F497D"/>
                <w:sz w:val="20"/>
                <w:szCs w:val="20"/>
                <w:u w:val="single"/>
                <w:lang w:eastAsia="fr-FR"/>
              </w:rPr>
              <w:t>OMS</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7 316 367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32</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5 372 044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24</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4 394 388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17</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7 191 143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23</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4 325 825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16</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28 599 767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22</w:t>
            </w:r>
          </w:p>
        </w:tc>
      </w:tr>
      <w:tr w:rsidR="00DC4EEF" w:rsidRPr="00570619"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color w:val="1F497D"/>
                <w:sz w:val="20"/>
                <w:szCs w:val="20"/>
                <w:u w:val="single"/>
                <w:lang w:eastAsia="fr-FR"/>
              </w:rPr>
            </w:pPr>
            <w:r w:rsidRPr="00BD71BB">
              <w:rPr>
                <w:rFonts w:ascii="Times New Roman" w:eastAsia="Times New Roman" w:hAnsi="Times New Roman" w:cs="Times New Roman"/>
                <w:color w:val="1F497D"/>
                <w:sz w:val="20"/>
                <w:szCs w:val="20"/>
                <w:u w:val="single"/>
                <w:lang w:eastAsia="fr-FR"/>
              </w:rPr>
              <w:t>UNICEF</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4 606 483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20</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5 217 420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23</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3 097 411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12</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5 051 650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16</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3 091 898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11</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21 064 862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16</w:t>
            </w:r>
          </w:p>
        </w:tc>
      </w:tr>
      <w:tr w:rsidR="00DC4EEF" w:rsidRPr="00570619" w:rsidTr="00AA70AB">
        <w:trPr>
          <w:trHeight w:val="321"/>
        </w:trPr>
        <w:tc>
          <w:tcPr>
            <w:tcW w:w="4633" w:type="dxa"/>
            <w:shd w:val="clear" w:color="4F81BD" w:fill="4F81BD"/>
            <w:noWrap/>
            <w:vAlign w:val="bottom"/>
            <w:hideMark/>
          </w:tcPr>
          <w:p w:rsidR="00F95CB7" w:rsidRPr="00BD71BB" w:rsidRDefault="00F95CB7" w:rsidP="00F95CB7">
            <w:pPr>
              <w:spacing w:after="0" w:line="240" w:lineRule="auto"/>
              <w:rPr>
                <w:rFonts w:ascii="Times New Roman" w:eastAsia="Times New Roman" w:hAnsi="Times New Roman" w:cs="Times New Roman"/>
                <w:b/>
                <w:bCs/>
                <w:color w:val="FFFFFF"/>
                <w:sz w:val="20"/>
                <w:szCs w:val="20"/>
                <w:lang w:eastAsia="fr-FR"/>
              </w:rPr>
            </w:pPr>
            <w:r w:rsidRPr="00BD71BB">
              <w:rPr>
                <w:rFonts w:ascii="Times New Roman" w:eastAsia="Times New Roman" w:hAnsi="Times New Roman" w:cs="Times New Roman"/>
                <w:b/>
                <w:bCs/>
                <w:color w:val="FFFFFF"/>
                <w:sz w:val="20"/>
                <w:szCs w:val="20"/>
                <w:lang w:eastAsia="fr-FR"/>
              </w:rPr>
              <w:t>Écart de financement (avec financement sécurisé seulement)</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$892 572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4</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$942 187 </w:t>
            </w:r>
          </w:p>
        </w:tc>
        <w:tc>
          <w:tcPr>
            <w:tcW w:w="568"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4</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$4 294 701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17</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$5 768 894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18</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$5 155 551 </w:t>
            </w:r>
          </w:p>
        </w:tc>
        <w:tc>
          <w:tcPr>
            <w:tcW w:w="437" w:type="dxa"/>
            <w:shd w:val="clear" w:color="000000" w:fill="DCE6F1"/>
            <w:vAlign w:val="bottom"/>
          </w:tcPr>
          <w:p w:rsidR="00F95CB7" w:rsidRPr="00570619"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19</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$17 053 905 </w:t>
            </w:r>
          </w:p>
        </w:tc>
        <w:tc>
          <w:tcPr>
            <w:tcW w:w="506" w:type="dxa"/>
            <w:shd w:val="clear" w:color="000000" w:fill="DCE6F1"/>
            <w:vAlign w:val="bottom"/>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13</w:t>
            </w:r>
          </w:p>
        </w:tc>
      </w:tr>
      <w:tr w:rsidR="00DC4EEF" w:rsidRPr="009D25E2" w:rsidTr="00AA70AB">
        <w:trPr>
          <w:trHeight w:val="321"/>
        </w:trPr>
        <w:tc>
          <w:tcPr>
            <w:tcW w:w="4633" w:type="dxa"/>
            <w:shd w:val="clear" w:color="4F81BD" w:fill="4F81BD"/>
            <w:noWrap/>
            <w:vAlign w:val="bottom"/>
            <w:hideMark/>
          </w:tcPr>
          <w:p w:rsidR="00F95CB7" w:rsidRPr="00BD71BB" w:rsidRDefault="00F95CB7" w:rsidP="00F95CB7">
            <w:pPr>
              <w:spacing w:after="0" w:line="240" w:lineRule="auto"/>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Financement probable</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319 346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sidRPr="009D25E2">
              <w:rPr>
                <w:rFonts w:ascii="Times New Roman" w:eastAsia="Times New Roman" w:hAnsi="Times New Roman" w:cs="Times New Roman"/>
                <w:b/>
                <w:bCs/>
                <w:sz w:val="20"/>
                <w:szCs w:val="20"/>
                <w:lang w:eastAsia="fr-FR"/>
              </w:rPr>
              <w:t>1</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 xml:space="preserve"> </w:t>
            </w:r>
            <w:r w:rsidRPr="00BD71BB">
              <w:rPr>
                <w:rFonts w:ascii="Times New Roman" w:eastAsia="Times New Roman" w:hAnsi="Times New Roman" w:cs="Times New Roman"/>
                <w:b/>
                <w:bCs/>
                <w:sz w:val="20"/>
                <w:szCs w:val="20"/>
                <w:lang w:eastAsia="fr-FR"/>
              </w:rPr>
              <w:t xml:space="preserve">                  -   </w:t>
            </w:r>
          </w:p>
        </w:tc>
        <w:tc>
          <w:tcPr>
            <w:tcW w:w="568"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3 417 683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13</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4 660 158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4 168 037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15</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12 565 224 </w:t>
            </w:r>
          </w:p>
        </w:tc>
        <w:tc>
          <w:tcPr>
            <w:tcW w:w="506"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10</w:t>
            </w:r>
          </w:p>
        </w:tc>
      </w:tr>
      <w:tr w:rsidR="00DC4EEF" w:rsidRPr="009D25E2"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sz w:val="20"/>
                <w:szCs w:val="20"/>
                <w:u w:val="single"/>
                <w:lang w:eastAsia="fr-FR"/>
              </w:rPr>
            </w:pPr>
            <w:r w:rsidRPr="00BD71BB">
              <w:rPr>
                <w:rFonts w:ascii="Times New Roman" w:eastAsia="Times New Roman" w:hAnsi="Times New Roman" w:cs="Times New Roman"/>
                <w:sz w:val="20"/>
                <w:szCs w:val="20"/>
                <w:u w:val="single"/>
                <w:lang w:eastAsia="fr-FR"/>
              </w:rPr>
              <w:t>GAVI</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319 346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BD71BB">
              <w:rPr>
                <w:rFonts w:ascii="Times New Roman" w:eastAsia="Times New Roman" w:hAnsi="Times New Roman" w:cs="Times New Roman"/>
                <w:sz w:val="20"/>
                <w:szCs w:val="20"/>
                <w:lang w:eastAsia="fr-FR"/>
              </w:rPr>
              <w:t xml:space="preserve">                  -   </w:t>
            </w:r>
          </w:p>
        </w:tc>
        <w:tc>
          <w:tcPr>
            <w:tcW w:w="568"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927 828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4</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1 247 174 </w:t>
            </w:r>
          </w:p>
        </w:tc>
        <w:tc>
          <w:tcPr>
            <w:tcW w:w="506"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w:t>
            </w:r>
          </w:p>
        </w:tc>
      </w:tr>
      <w:tr w:rsidR="00DC4EEF" w:rsidRPr="009D25E2"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sz w:val="20"/>
                <w:szCs w:val="20"/>
                <w:u w:val="single"/>
                <w:lang w:eastAsia="fr-FR"/>
              </w:rPr>
            </w:pPr>
            <w:r w:rsidRPr="00BD71BB">
              <w:rPr>
                <w:rFonts w:ascii="Times New Roman" w:eastAsia="Times New Roman" w:hAnsi="Times New Roman" w:cs="Times New Roman"/>
                <w:sz w:val="20"/>
                <w:szCs w:val="20"/>
                <w:u w:val="single"/>
                <w:lang w:eastAsia="fr-FR"/>
              </w:rPr>
              <w:t>OMS</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BD71BB">
              <w:rPr>
                <w:rFonts w:ascii="Times New Roman" w:eastAsia="Times New Roman" w:hAnsi="Times New Roman" w:cs="Times New Roman"/>
                <w:sz w:val="20"/>
                <w:szCs w:val="20"/>
                <w:lang w:eastAsia="fr-FR"/>
              </w:rPr>
              <w:t xml:space="preserve">                -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BD71BB">
              <w:rPr>
                <w:rFonts w:ascii="Times New Roman" w:eastAsia="Times New Roman" w:hAnsi="Times New Roman" w:cs="Times New Roman"/>
                <w:sz w:val="20"/>
                <w:szCs w:val="20"/>
                <w:lang w:eastAsia="fr-FR"/>
              </w:rPr>
              <w:t xml:space="preserve">                 -   </w:t>
            </w:r>
          </w:p>
        </w:tc>
        <w:tc>
          <w:tcPr>
            <w:tcW w:w="568"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912 005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4</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922 815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1 035 958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4</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2 870 778 </w:t>
            </w:r>
          </w:p>
        </w:tc>
        <w:tc>
          <w:tcPr>
            <w:tcW w:w="506"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w:t>
            </w:r>
          </w:p>
        </w:tc>
      </w:tr>
      <w:tr w:rsidR="00DC4EEF" w:rsidRPr="009D25E2" w:rsidTr="00AA70AB">
        <w:trPr>
          <w:trHeight w:val="321"/>
        </w:trPr>
        <w:tc>
          <w:tcPr>
            <w:tcW w:w="4633" w:type="dxa"/>
            <w:shd w:val="clear" w:color="auto" w:fill="auto"/>
            <w:noWrap/>
            <w:vAlign w:val="center"/>
            <w:hideMark/>
          </w:tcPr>
          <w:p w:rsidR="00F95CB7" w:rsidRPr="00BD71BB" w:rsidRDefault="00F95CB7" w:rsidP="00F95CB7">
            <w:pPr>
              <w:spacing w:after="0" w:line="240" w:lineRule="auto"/>
              <w:rPr>
                <w:rFonts w:ascii="Times New Roman" w:eastAsia="Times New Roman" w:hAnsi="Times New Roman" w:cs="Times New Roman"/>
                <w:sz w:val="20"/>
                <w:szCs w:val="20"/>
                <w:u w:val="single"/>
                <w:lang w:eastAsia="fr-FR"/>
              </w:rPr>
            </w:pPr>
            <w:r w:rsidRPr="00BD71BB">
              <w:rPr>
                <w:rFonts w:ascii="Times New Roman" w:eastAsia="Times New Roman" w:hAnsi="Times New Roman" w:cs="Times New Roman"/>
                <w:sz w:val="20"/>
                <w:szCs w:val="20"/>
                <w:u w:val="single"/>
                <w:lang w:eastAsia="fr-FR"/>
              </w:rPr>
              <w:t>UNICEF</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BD71BB">
              <w:rPr>
                <w:rFonts w:ascii="Times New Roman" w:eastAsia="Times New Roman" w:hAnsi="Times New Roman" w:cs="Times New Roman"/>
                <w:sz w:val="20"/>
                <w:szCs w:val="20"/>
                <w:lang w:eastAsia="fr-FR"/>
              </w:rPr>
              <w:t xml:space="preserve">                -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w:t>
            </w:r>
          </w:p>
        </w:tc>
        <w:tc>
          <w:tcPr>
            <w:tcW w:w="568"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1 577 850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6</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3 737 343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12</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3 132 079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11</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sz w:val="20"/>
                <w:szCs w:val="20"/>
                <w:lang w:eastAsia="fr-FR"/>
              </w:rPr>
            </w:pPr>
            <w:r w:rsidRPr="00BD71BB">
              <w:rPr>
                <w:rFonts w:ascii="Times New Roman" w:eastAsia="Times New Roman" w:hAnsi="Times New Roman" w:cs="Times New Roman"/>
                <w:sz w:val="20"/>
                <w:szCs w:val="20"/>
                <w:lang w:eastAsia="fr-FR"/>
              </w:rPr>
              <w:t xml:space="preserve"> $         8 447 272 </w:t>
            </w:r>
          </w:p>
        </w:tc>
        <w:tc>
          <w:tcPr>
            <w:tcW w:w="506"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7</w:t>
            </w:r>
          </w:p>
        </w:tc>
      </w:tr>
      <w:tr w:rsidR="00DC4EEF" w:rsidRPr="009D25E2" w:rsidTr="00AA70AB">
        <w:trPr>
          <w:trHeight w:val="321"/>
        </w:trPr>
        <w:tc>
          <w:tcPr>
            <w:tcW w:w="4633" w:type="dxa"/>
            <w:shd w:val="clear" w:color="4F81BD" w:fill="4F81BD"/>
            <w:noWrap/>
            <w:vAlign w:val="bottom"/>
            <w:hideMark/>
          </w:tcPr>
          <w:p w:rsidR="00F95CB7" w:rsidRPr="00BD71BB" w:rsidRDefault="00F95CB7" w:rsidP="00F95CB7">
            <w:pPr>
              <w:spacing w:after="0" w:line="240" w:lineRule="auto"/>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Écart de financement (avec financement sécurisé &amp; probable)</w:t>
            </w:r>
          </w:p>
        </w:tc>
        <w:tc>
          <w:tcPr>
            <w:tcW w:w="129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573 226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3</w:t>
            </w:r>
          </w:p>
        </w:tc>
        <w:tc>
          <w:tcPr>
            <w:tcW w:w="137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942 187 </w:t>
            </w:r>
          </w:p>
        </w:tc>
        <w:tc>
          <w:tcPr>
            <w:tcW w:w="568"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4</w:t>
            </w:r>
          </w:p>
        </w:tc>
        <w:tc>
          <w:tcPr>
            <w:tcW w:w="1530"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877 018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3</w:t>
            </w:r>
          </w:p>
        </w:tc>
        <w:tc>
          <w:tcPr>
            <w:tcW w:w="150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1 108 736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4</w:t>
            </w:r>
          </w:p>
        </w:tc>
        <w:tc>
          <w:tcPr>
            <w:tcW w:w="1558"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987 514 </w:t>
            </w:r>
          </w:p>
        </w:tc>
        <w:tc>
          <w:tcPr>
            <w:tcW w:w="437"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4</w:t>
            </w:r>
          </w:p>
        </w:tc>
        <w:tc>
          <w:tcPr>
            <w:tcW w:w="1747" w:type="dxa"/>
            <w:shd w:val="clear" w:color="000000" w:fill="DCE6F1"/>
            <w:noWrap/>
            <w:vAlign w:val="bottom"/>
            <w:hideMark/>
          </w:tcPr>
          <w:p w:rsidR="00F95CB7" w:rsidRPr="00BD71BB" w:rsidRDefault="00F95CB7" w:rsidP="00F95CB7">
            <w:pPr>
              <w:spacing w:after="0" w:line="240" w:lineRule="auto"/>
              <w:jc w:val="right"/>
              <w:rPr>
                <w:rFonts w:ascii="Times New Roman" w:eastAsia="Times New Roman" w:hAnsi="Times New Roman" w:cs="Times New Roman"/>
                <w:b/>
                <w:bCs/>
                <w:sz w:val="20"/>
                <w:szCs w:val="20"/>
                <w:lang w:eastAsia="fr-FR"/>
              </w:rPr>
            </w:pPr>
            <w:r w:rsidRPr="00BD71BB">
              <w:rPr>
                <w:rFonts w:ascii="Times New Roman" w:eastAsia="Times New Roman" w:hAnsi="Times New Roman" w:cs="Times New Roman"/>
                <w:b/>
                <w:bCs/>
                <w:sz w:val="20"/>
                <w:szCs w:val="20"/>
                <w:lang w:eastAsia="fr-FR"/>
              </w:rPr>
              <w:t xml:space="preserve"> $         4 488 681 </w:t>
            </w:r>
          </w:p>
        </w:tc>
        <w:tc>
          <w:tcPr>
            <w:tcW w:w="506" w:type="dxa"/>
            <w:shd w:val="clear" w:color="000000" w:fill="DCE6F1"/>
            <w:vAlign w:val="bottom"/>
          </w:tcPr>
          <w:p w:rsidR="00F95CB7" w:rsidRPr="009D25E2" w:rsidRDefault="00F95CB7" w:rsidP="00F95CB7">
            <w:pPr>
              <w:spacing w:after="0" w:line="240" w:lineRule="auto"/>
              <w:jc w:val="right"/>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3</w:t>
            </w:r>
          </w:p>
        </w:tc>
      </w:tr>
    </w:tbl>
    <w:p w:rsidR="00621BF1" w:rsidRPr="00621BF1" w:rsidRDefault="00621BF1" w:rsidP="00621BF1">
      <w:pPr>
        <w:autoSpaceDE w:val="0"/>
        <w:autoSpaceDN w:val="0"/>
        <w:adjustRightInd w:val="0"/>
        <w:spacing w:before="240" w:after="0" w:line="240" w:lineRule="auto"/>
        <w:rPr>
          <w:rFonts w:cs="Times New Roman"/>
          <w:b/>
          <w:bCs/>
          <w:color w:val="000000"/>
          <w:sz w:val="24"/>
          <w:szCs w:val="24"/>
        </w:rPr>
        <w:sectPr w:rsidR="00621BF1" w:rsidRPr="00621BF1" w:rsidSect="00405A2E">
          <w:pgSz w:w="16838" w:h="11906" w:orient="landscape"/>
          <w:pgMar w:top="1418" w:right="1418" w:bottom="1418" w:left="1418" w:header="709" w:footer="709" w:gutter="0"/>
          <w:cols w:space="708"/>
          <w:docGrid w:linePitch="360"/>
        </w:sectPr>
      </w:pPr>
    </w:p>
    <w:p w:rsidR="00045224" w:rsidRDefault="00580D02" w:rsidP="00AA70AB">
      <w:pPr>
        <w:spacing w:after="160" w:line="259" w:lineRule="auto"/>
        <w:rPr>
          <w:rFonts w:ascii="Times New Roman" w:hAnsi="Times New Roman" w:cs="Times New Roman"/>
          <w:bCs/>
          <w:color w:val="000000"/>
          <w:sz w:val="24"/>
          <w:szCs w:val="24"/>
        </w:rPr>
      </w:pPr>
      <w:r>
        <w:rPr>
          <w:rFonts w:cs="Times New Roman"/>
          <w:bCs/>
          <w:color w:val="000000"/>
          <w:sz w:val="24"/>
          <w:szCs w:val="24"/>
        </w:rPr>
        <w:lastRenderedPageBreak/>
        <w:br w:type="page"/>
      </w:r>
      <w:r w:rsidR="00045224">
        <w:rPr>
          <w:rFonts w:ascii="Times New Roman" w:hAnsi="Times New Roman" w:cs="Times New Roman"/>
          <w:bCs/>
          <w:color w:val="000000"/>
          <w:sz w:val="24"/>
          <w:szCs w:val="24"/>
        </w:rPr>
        <w:lastRenderedPageBreak/>
        <w:t xml:space="preserve">Ce tableau indique que les financements sécurisés du plan se chiffrent à 113.115.805 couvrant ainsi 87% des besoins dégageant ainsi un écart de </w:t>
      </w:r>
      <w:r w:rsidR="00045224" w:rsidRPr="006E411F">
        <w:rPr>
          <w:rFonts w:ascii="Times New Roman" w:eastAsia="Times New Roman" w:hAnsi="Times New Roman" w:cs="Times New Roman"/>
          <w:bCs/>
          <w:sz w:val="24"/>
          <w:szCs w:val="24"/>
          <w:lang w:eastAsia="fr-FR"/>
        </w:rPr>
        <w:t>17</w:t>
      </w:r>
      <w:r w:rsidR="00045224">
        <w:rPr>
          <w:rFonts w:ascii="Times New Roman" w:eastAsia="Times New Roman" w:hAnsi="Times New Roman" w:cs="Times New Roman"/>
          <w:bCs/>
          <w:sz w:val="24"/>
          <w:szCs w:val="24"/>
          <w:lang w:eastAsia="fr-FR"/>
        </w:rPr>
        <w:t>.</w:t>
      </w:r>
      <w:r w:rsidR="00045224" w:rsidRPr="006E411F">
        <w:rPr>
          <w:rFonts w:ascii="Times New Roman" w:eastAsia="Times New Roman" w:hAnsi="Times New Roman" w:cs="Times New Roman"/>
          <w:bCs/>
          <w:sz w:val="24"/>
          <w:szCs w:val="24"/>
          <w:lang w:eastAsia="fr-FR"/>
        </w:rPr>
        <w:t>053</w:t>
      </w:r>
      <w:r w:rsidR="00045224">
        <w:rPr>
          <w:rFonts w:ascii="Times New Roman" w:eastAsia="Times New Roman" w:hAnsi="Times New Roman" w:cs="Times New Roman"/>
          <w:bCs/>
          <w:sz w:val="24"/>
          <w:szCs w:val="24"/>
          <w:lang w:eastAsia="fr-FR"/>
        </w:rPr>
        <w:t>.</w:t>
      </w:r>
      <w:r w:rsidR="00045224" w:rsidRPr="006E411F">
        <w:rPr>
          <w:rFonts w:ascii="Times New Roman" w:eastAsia="Times New Roman" w:hAnsi="Times New Roman" w:cs="Times New Roman"/>
          <w:bCs/>
          <w:sz w:val="24"/>
          <w:szCs w:val="24"/>
          <w:lang w:eastAsia="fr-FR"/>
        </w:rPr>
        <w:t>905</w:t>
      </w:r>
      <w:r w:rsidR="00045224">
        <w:rPr>
          <w:rFonts w:ascii="Times New Roman" w:eastAsia="Times New Roman" w:hAnsi="Times New Roman" w:cs="Times New Roman"/>
          <w:bCs/>
          <w:sz w:val="24"/>
          <w:szCs w:val="24"/>
          <w:lang w:eastAsia="fr-FR"/>
        </w:rPr>
        <w:t xml:space="preserve"> USD correspondant à</w:t>
      </w:r>
      <w:r w:rsidR="00045224" w:rsidRPr="00BD71BB">
        <w:rPr>
          <w:rFonts w:ascii="Times New Roman" w:eastAsia="Times New Roman" w:hAnsi="Times New Roman" w:cs="Times New Roman"/>
          <w:b/>
          <w:bCs/>
          <w:sz w:val="20"/>
          <w:szCs w:val="20"/>
          <w:lang w:eastAsia="fr-FR"/>
        </w:rPr>
        <w:t xml:space="preserve"> </w:t>
      </w:r>
      <w:r w:rsidR="00045224">
        <w:rPr>
          <w:rFonts w:ascii="Times New Roman" w:hAnsi="Times New Roman" w:cs="Times New Roman"/>
          <w:bCs/>
          <w:color w:val="000000"/>
          <w:sz w:val="24"/>
          <w:szCs w:val="24"/>
        </w:rPr>
        <w:t xml:space="preserve">13% des besoins. Ils évoluent en dents de scie en enregistrant une légère baisse de 2016 à 2018 pour ensuite augmenter en 2019 et baisser en 2010. </w:t>
      </w:r>
    </w:p>
    <w:p w:rsidR="00045224" w:rsidRPr="006757D3" w:rsidRDefault="00045224" w:rsidP="00045224">
      <w:pPr>
        <w:autoSpaceDE w:val="0"/>
        <w:autoSpaceDN w:val="0"/>
        <w:adjustRightInd w:val="0"/>
        <w:spacing w:before="240" w:after="0" w:line="240" w:lineRule="auto"/>
        <w:jc w:val="both"/>
        <w:rPr>
          <w:rFonts w:ascii="Times New Roman" w:hAnsi="Times New Roman" w:cs="Times New Roman"/>
          <w:bCs/>
          <w:color w:val="000000"/>
          <w:sz w:val="24"/>
          <w:szCs w:val="24"/>
        </w:rPr>
      </w:pPr>
      <w:r w:rsidRPr="006757D3">
        <w:rPr>
          <w:rFonts w:ascii="Times New Roman" w:hAnsi="Times New Roman" w:cs="Times New Roman"/>
          <w:bCs/>
          <w:color w:val="000000"/>
          <w:sz w:val="24"/>
          <w:szCs w:val="24"/>
        </w:rPr>
        <w:t>Au titre des sources des financements sécurisés</w:t>
      </w:r>
      <w:r>
        <w:rPr>
          <w:rFonts w:ascii="Times New Roman" w:hAnsi="Times New Roman" w:cs="Times New Roman"/>
          <w:bCs/>
          <w:color w:val="000000"/>
          <w:sz w:val="24"/>
          <w:szCs w:val="24"/>
        </w:rPr>
        <w:t xml:space="preserve"> par ordre d’importance</w:t>
      </w:r>
      <w:r w:rsidRPr="006757D3">
        <w:rPr>
          <w:rFonts w:ascii="Times New Roman" w:hAnsi="Times New Roman" w:cs="Times New Roman"/>
          <w:bCs/>
          <w:color w:val="000000"/>
          <w:sz w:val="24"/>
          <w:szCs w:val="24"/>
        </w:rPr>
        <w:t>, GAVI occupe</w:t>
      </w:r>
      <w:r>
        <w:rPr>
          <w:rFonts w:ascii="Times New Roman" w:hAnsi="Times New Roman" w:cs="Times New Roman"/>
          <w:bCs/>
          <w:color w:val="000000"/>
          <w:sz w:val="24"/>
          <w:szCs w:val="24"/>
        </w:rPr>
        <w:t xml:space="preserve"> la première en couvrant 33% des besoins</w:t>
      </w:r>
      <w:r w:rsidRPr="006757D3">
        <w:rPr>
          <w:rFonts w:ascii="Times New Roman" w:hAnsi="Times New Roman" w:cs="Times New Roman"/>
          <w:bCs/>
          <w:color w:val="000000"/>
          <w:sz w:val="24"/>
          <w:szCs w:val="24"/>
        </w:rPr>
        <w:t xml:space="preserve">. Cette institution est suivie </w:t>
      </w:r>
      <w:r>
        <w:rPr>
          <w:rFonts w:ascii="Times New Roman" w:hAnsi="Times New Roman" w:cs="Times New Roman"/>
          <w:bCs/>
          <w:color w:val="000000"/>
          <w:sz w:val="24"/>
          <w:szCs w:val="24"/>
        </w:rPr>
        <w:t>de</w:t>
      </w:r>
      <w:r w:rsidRPr="006757D3">
        <w:rPr>
          <w:rFonts w:ascii="Times New Roman" w:hAnsi="Times New Roman" w:cs="Times New Roman"/>
          <w:bCs/>
          <w:color w:val="000000"/>
          <w:sz w:val="24"/>
          <w:szCs w:val="24"/>
        </w:rPr>
        <w:t xml:space="preserve"> l’OMS (</w:t>
      </w:r>
      <w:r>
        <w:rPr>
          <w:rFonts w:ascii="Times New Roman" w:hAnsi="Times New Roman" w:cs="Times New Roman"/>
          <w:bCs/>
          <w:color w:val="000000"/>
          <w:sz w:val="24"/>
          <w:szCs w:val="24"/>
        </w:rPr>
        <w:t>22</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Pr="006757D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de</w:t>
      </w:r>
      <w:r w:rsidRPr="006757D3">
        <w:rPr>
          <w:rFonts w:ascii="Times New Roman" w:hAnsi="Times New Roman" w:cs="Times New Roman"/>
          <w:bCs/>
          <w:color w:val="000000"/>
          <w:sz w:val="24"/>
          <w:szCs w:val="24"/>
        </w:rPr>
        <w:t xml:space="preserve"> l’UNICEF (</w:t>
      </w:r>
      <w:r>
        <w:rPr>
          <w:rFonts w:ascii="Times New Roman" w:hAnsi="Times New Roman" w:cs="Times New Roman"/>
          <w:bCs/>
          <w:color w:val="000000"/>
          <w:sz w:val="24"/>
          <w:szCs w:val="24"/>
        </w:rPr>
        <w:t>16</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et </w:t>
      </w:r>
      <w:r w:rsidRPr="006757D3">
        <w:rPr>
          <w:rFonts w:ascii="Times New Roman" w:hAnsi="Times New Roman" w:cs="Times New Roman"/>
          <w:bCs/>
          <w:color w:val="000000"/>
          <w:sz w:val="24"/>
          <w:szCs w:val="24"/>
        </w:rPr>
        <w:t>du Gouvernement (</w:t>
      </w:r>
      <w:r>
        <w:rPr>
          <w:rFonts w:ascii="Times New Roman" w:hAnsi="Times New Roman" w:cs="Times New Roman"/>
          <w:bCs/>
          <w:color w:val="000000"/>
          <w:sz w:val="24"/>
          <w:szCs w:val="24"/>
        </w:rPr>
        <w:t>15</w:t>
      </w:r>
      <w:r w:rsidRPr="006757D3">
        <w:rPr>
          <w:rFonts w:ascii="Times New Roman" w:hAnsi="Times New Roman" w:cs="Times New Roman"/>
          <w:bCs/>
          <w:color w:val="000000"/>
          <w:sz w:val="24"/>
          <w:szCs w:val="24"/>
        </w:rPr>
        <w:t>%)</w:t>
      </w:r>
      <w:r>
        <w:rPr>
          <w:rFonts w:ascii="Times New Roman" w:hAnsi="Times New Roman" w:cs="Times New Roman"/>
          <w:bCs/>
          <w:color w:val="000000"/>
          <w:sz w:val="24"/>
          <w:szCs w:val="24"/>
        </w:rPr>
        <w:t>, y compris le cofinancement que doit apporter ce dernier.</w:t>
      </w:r>
      <w:r w:rsidRPr="006757D3">
        <w:rPr>
          <w:rFonts w:ascii="Times New Roman" w:hAnsi="Times New Roman" w:cs="Times New Roman"/>
          <w:bCs/>
          <w:color w:val="000000"/>
          <w:sz w:val="24"/>
          <w:szCs w:val="24"/>
        </w:rPr>
        <w:t xml:space="preserve"> </w:t>
      </w:r>
    </w:p>
    <w:p w:rsidR="00045224" w:rsidRDefault="00045224" w:rsidP="00045224">
      <w:pPr>
        <w:autoSpaceDE w:val="0"/>
        <w:autoSpaceDN w:val="0"/>
        <w:adjustRightInd w:val="0"/>
        <w:spacing w:before="240" w:after="0" w:line="240" w:lineRule="auto"/>
        <w:jc w:val="both"/>
        <w:rPr>
          <w:rFonts w:ascii="Times New Roman" w:hAnsi="Times New Roman" w:cs="Times New Roman"/>
          <w:bCs/>
          <w:color w:val="000000"/>
          <w:sz w:val="24"/>
          <w:szCs w:val="24"/>
        </w:rPr>
      </w:pPr>
      <w:r w:rsidRPr="006757D3">
        <w:rPr>
          <w:rFonts w:ascii="Times New Roman" w:hAnsi="Times New Roman" w:cs="Times New Roman"/>
          <w:bCs/>
          <w:color w:val="000000"/>
          <w:sz w:val="24"/>
          <w:szCs w:val="24"/>
        </w:rPr>
        <w:t>Il est i</w:t>
      </w:r>
      <w:r>
        <w:rPr>
          <w:rFonts w:ascii="Times New Roman" w:hAnsi="Times New Roman" w:cs="Times New Roman"/>
          <w:bCs/>
          <w:color w:val="000000"/>
          <w:sz w:val="24"/>
          <w:szCs w:val="24"/>
        </w:rPr>
        <w:t>ntéressant</w:t>
      </w:r>
      <w:r w:rsidRPr="006757D3">
        <w:rPr>
          <w:rFonts w:ascii="Times New Roman" w:hAnsi="Times New Roman" w:cs="Times New Roman"/>
          <w:bCs/>
          <w:color w:val="000000"/>
          <w:sz w:val="24"/>
          <w:szCs w:val="24"/>
        </w:rPr>
        <w:t xml:space="preserve"> de signaler que le cofinancement attendu du Gouvernement est de</w:t>
      </w:r>
      <w:r>
        <w:rPr>
          <w:rFonts w:ascii="Times New Roman" w:hAnsi="Times New Roman" w:cs="Times New Roman"/>
          <w:bCs/>
          <w:color w:val="000000"/>
          <w:sz w:val="24"/>
          <w:szCs w:val="24"/>
        </w:rPr>
        <w:t xml:space="preserve"> </w:t>
      </w:r>
      <w:r w:rsidRPr="00BD71BB">
        <w:rPr>
          <w:rFonts w:ascii="Times New Roman" w:eastAsia="Times New Roman" w:hAnsi="Times New Roman" w:cs="Times New Roman"/>
          <w:sz w:val="20"/>
          <w:szCs w:val="20"/>
          <w:lang w:eastAsia="fr-FR"/>
        </w:rPr>
        <w:t xml:space="preserve"> </w:t>
      </w:r>
      <w:r w:rsidRPr="00BD71BB">
        <w:rPr>
          <w:rFonts w:ascii="Times New Roman" w:hAnsi="Times New Roman" w:cs="Times New Roman"/>
          <w:bCs/>
          <w:color w:val="000000"/>
          <w:sz w:val="24"/>
          <w:szCs w:val="24"/>
        </w:rPr>
        <w:t>4</w:t>
      </w:r>
      <w:r>
        <w:rPr>
          <w:rFonts w:ascii="Times New Roman" w:hAnsi="Times New Roman" w:cs="Times New Roman"/>
          <w:bCs/>
          <w:color w:val="000000"/>
          <w:sz w:val="24"/>
          <w:szCs w:val="24"/>
        </w:rPr>
        <w:t>.</w:t>
      </w:r>
      <w:r w:rsidRPr="00BD71BB">
        <w:rPr>
          <w:rFonts w:ascii="Times New Roman" w:hAnsi="Times New Roman" w:cs="Times New Roman"/>
          <w:bCs/>
          <w:color w:val="000000"/>
          <w:sz w:val="24"/>
          <w:szCs w:val="24"/>
        </w:rPr>
        <w:t>531</w:t>
      </w:r>
      <w:r>
        <w:rPr>
          <w:rFonts w:ascii="Times New Roman" w:hAnsi="Times New Roman" w:cs="Times New Roman"/>
          <w:bCs/>
          <w:color w:val="000000"/>
          <w:sz w:val="24"/>
          <w:szCs w:val="24"/>
        </w:rPr>
        <w:t>.</w:t>
      </w:r>
      <w:r w:rsidRPr="00BD71BB">
        <w:rPr>
          <w:rFonts w:ascii="Times New Roman" w:hAnsi="Times New Roman" w:cs="Times New Roman"/>
          <w:bCs/>
          <w:color w:val="000000"/>
          <w:sz w:val="24"/>
          <w:szCs w:val="24"/>
        </w:rPr>
        <w:t>577</w:t>
      </w:r>
      <w:r>
        <w:rPr>
          <w:rFonts w:ascii="Times New Roman" w:hAnsi="Times New Roman" w:cs="Times New Roman"/>
          <w:bCs/>
          <w:color w:val="000000"/>
          <w:sz w:val="24"/>
          <w:szCs w:val="24"/>
        </w:rPr>
        <w:t xml:space="preserve"> </w:t>
      </w:r>
      <w:r w:rsidRPr="006757D3">
        <w:rPr>
          <w:rFonts w:ascii="Times New Roman" w:hAnsi="Times New Roman" w:cs="Times New Roman"/>
          <w:bCs/>
          <w:color w:val="000000"/>
          <w:sz w:val="24"/>
          <w:szCs w:val="24"/>
        </w:rPr>
        <w:t>USD</w:t>
      </w:r>
      <w:r>
        <w:rPr>
          <w:rFonts w:ascii="Times New Roman" w:hAnsi="Times New Roman" w:cs="Times New Roman"/>
          <w:bCs/>
          <w:color w:val="000000"/>
          <w:sz w:val="24"/>
          <w:szCs w:val="24"/>
        </w:rPr>
        <w:t>, soit 3% des besoins totaux en ressources.</w:t>
      </w:r>
    </w:p>
    <w:p w:rsidR="00045224" w:rsidRPr="00621BF1" w:rsidRDefault="00045224" w:rsidP="00045224">
      <w:pPr>
        <w:autoSpaceDE w:val="0"/>
        <w:autoSpaceDN w:val="0"/>
        <w:adjustRightInd w:val="0"/>
        <w:spacing w:before="240" w:after="0" w:line="240" w:lineRule="auto"/>
        <w:jc w:val="both"/>
        <w:rPr>
          <w:rFonts w:cs="Times New Roman"/>
          <w:bCs/>
          <w:color w:val="000000"/>
          <w:sz w:val="24"/>
          <w:szCs w:val="24"/>
        </w:rPr>
      </w:pPr>
      <w:r w:rsidRPr="00621BF1">
        <w:rPr>
          <w:rFonts w:cs="Times New Roman"/>
          <w:bCs/>
          <w:color w:val="000000"/>
          <w:sz w:val="24"/>
          <w:szCs w:val="24"/>
        </w:rPr>
        <w:t xml:space="preserve">Il est intéressant de noter que certains bailleurs des fonds n’apparaissent pas dans cette situation car, leurs contributions passent par l’OMS et l’UNICEF qui deviennent ainsi des collecteurs de ressources et agences d’exécution. </w:t>
      </w:r>
    </w:p>
    <w:p w:rsidR="00621BF1" w:rsidRPr="00621BF1" w:rsidRDefault="00621BF1" w:rsidP="00621BF1">
      <w:pPr>
        <w:autoSpaceDE w:val="0"/>
        <w:autoSpaceDN w:val="0"/>
        <w:adjustRightInd w:val="0"/>
        <w:spacing w:before="240" w:after="0" w:line="240" w:lineRule="auto"/>
        <w:jc w:val="both"/>
        <w:rPr>
          <w:rFonts w:cs="Times New Roman"/>
          <w:b/>
          <w:bCs/>
          <w:color w:val="000000"/>
          <w:sz w:val="24"/>
          <w:szCs w:val="24"/>
        </w:rPr>
      </w:pPr>
      <w:r w:rsidRPr="00621BF1">
        <w:rPr>
          <w:rFonts w:cs="Times New Roman"/>
          <w:b/>
          <w:bCs/>
          <w:color w:val="000000"/>
          <w:sz w:val="24"/>
          <w:szCs w:val="24"/>
        </w:rPr>
        <w:t>Viabilité financière du plan</w:t>
      </w:r>
    </w:p>
    <w:p w:rsidR="00621BF1" w:rsidRPr="00621BF1" w:rsidRDefault="00621BF1" w:rsidP="00621BF1">
      <w:pPr>
        <w:autoSpaceDE w:val="0"/>
        <w:autoSpaceDN w:val="0"/>
        <w:adjustRightInd w:val="0"/>
        <w:spacing w:after="0" w:line="240" w:lineRule="auto"/>
        <w:jc w:val="both"/>
        <w:rPr>
          <w:rFonts w:cs="Times New Roman"/>
          <w:color w:val="000000"/>
          <w:sz w:val="23"/>
          <w:szCs w:val="23"/>
        </w:rPr>
      </w:pPr>
      <w:r w:rsidRPr="00621BF1">
        <w:rPr>
          <w:rFonts w:cs="Times New Roman"/>
          <w:color w:val="000000"/>
          <w:sz w:val="23"/>
          <w:szCs w:val="23"/>
        </w:rPr>
        <w:t xml:space="preserve">La République de Guinée fait partie des pays à faible revenu où l’état de santé des populations demeure précaire en raison des difficultés de mobilisation des ressources. La survenue de la fièvre hémorragique Ebola a montré les disfonctionnements  et les faiblesses du système de santé qui empêchent celui-ci à répondre efficacement aux besoins de santé de la population. Ce constat doit amener les autorités à accorder plus d’importance à la prévention. </w:t>
      </w:r>
    </w:p>
    <w:p w:rsidR="00621BF1" w:rsidRPr="00621BF1" w:rsidRDefault="00621BF1" w:rsidP="00621BF1">
      <w:pPr>
        <w:autoSpaceDE w:val="0"/>
        <w:autoSpaceDN w:val="0"/>
        <w:adjustRightInd w:val="0"/>
        <w:spacing w:before="240" w:after="0" w:line="240" w:lineRule="auto"/>
        <w:jc w:val="both"/>
        <w:rPr>
          <w:rFonts w:cs="Times New Roman"/>
          <w:color w:val="000000"/>
          <w:sz w:val="23"/>
          <w:szCs w:val="23"/>
        </w:rPr>
      </w:pPr>
      <w:r w:rsidRPr="00621BF1">
        <w:rPr>
          <w:rFonts w:cs="Times New Roman"/>
          <w:color w:val="000000"/>
          <w:sz w:val="23"/>
          <w:szCs w:val="23"/>
        </w:rPr>
        <w:t>A cet effet, au-delà des mesures déjà prises (la signature de l’Initiative de l’Indépendance Vaccinale, la création de la ligne « vaccin » dans le budget de l’Etat, la responsabilisation des Ministres dans l’exécution des budgets entre autres), d’autres stratégies pertinentes doivent être définies et mises en œuvre pour la viabilité de ce plan. On peut citer :</w:t>
      </w:r>
    </w:p>
    <w:p w:rsidR="00621BF1" w:rsidRPr="00621BF1" w:rsidRDefault="00621BF1" w:rsidP="00621BF1">
      <w:pPr>
        <w:pStyle w:val="Paragraphedeliste"/>
        <w:numPr>
          <w:ilvl w:val="0"/>
          <w:numId w:val="47"/>
        </w:numPr>
        <w:autoSpaceDE w:val="0"/>
        <w:autoSpaceDN w:val="0"/>
        <w:adjustRightInd w:val="0"/>
        <w:spacing w:before="240" w:after="0"/>
        <w:jc w:val="both"/>
        <w:rPr>
          <w:rFonts w:cs="Times New Roman"/>
          <w:color w:val="000000"/>
          <w:sz w:val="23"/>
          <w:szCs w:val="23"/>
        </w:rPr>
      </w:pPr>
      <w:r w:rsidRPr="00621BF1">
        <w:rPr>
          <w:rFonts w:cs="Times New Roman"/>
          <w:color w:val="000000"/>
          <w:sz w:val="23"/>
          <w:szCs w:val="23"/>
        </w:rPr>
        <w:t>l’adoption de l’approche du financement basé sur le résultat dans le cadre de la mise en œuvre effective du Cadre de dépenses à moyen terme ;</w:t>
      </w:r>
    </w:p>
    <w:p w:rsidR="00621BF1" w:rsidRPr="00621BF1" w:rsidRDefault="00621BF1" w:rsidP="00621BF1">
      <w:pPr>
        <w:pStyle w:val="Paragraphedeliste"/>
        <w:numPr>
          <w:ilvl w:val="0"/>
          <w:numId w:val="47"/>
        </w:numPr>
        <w:autoSpaceDE w:val="0"/>
        <w:autoSpaceDN w:val="0"/>
        <w:adjustRightInd w:val="0"/>
        <w:spacing w:before="240" w:after="0"/>
        <w:jc w:val="both"/>
        <w:rPr>
          <w:rFonts w:cs="Times New Roman"/>
          <w:color w:val="000000"/>
          <w:sz w:val="23"/>
          <w:szCs w:val="23"/>
        </w:rPr>
      </w:pPr>
      <w:r w:rsidRPr="00621BF1">
        <w:rPr>
          <w:rFonts w:cs="Times New Roman"/>
          <w:color w:val="000000"/>
          <w:sz w:val="23"/>
          <w:szCs w:val="23"/>
        </w:rPr>
        <w:t>l’augmentation de la part du budget consacré à la santé en général, à la vaccination en particulier en conformité avec la stratégie de réduction de la pauvreté ;</w:t>
      </w:r>
    </w:p>
    <w:p w:rsidR="00621BF1" w:rsidRPr="00621BF1" w:rsidRDefault="00621BF1" w:rsidP="00621BF1">
      <w:pPr>
        <w:pStyle w:val="Paragraphedeliste"/>
        <w:numPr>
          <w:ilvl w:val="0"/>
          <w:numId w:val="47"/>
        </w:numPr>
        <w:autoSpaceDE w:val="0"/>
        <w:autoSpaceDN w:val="0"/>
        <w:adjustRightInd w:val="0"/>
        <w:spacing w:before="240" w:after="0"/>
        <w:jc w:val="both"/>
        <w:rPr>
          <w:rFonts w:cs="Times New Roman"/>
          <w:color w:val="000000"/>
          <w:sz w:val="23"/>
          <w:szCs w:val="23"/>
        </w:rPr>
      </w:pPr>
      <w:r w:rsidRPr="00621BF1">
        <w:rPr>
          <w:rFonts w:cs="Times New Roman"/>
          <w:color w:val="000000"/>
          <w:sz w:val="23"/>
          <w:szCs w:val="23"/>
        </w:rPr>
        <w:t>le décaissement des crédits inscrits au budget de façon régulière en conformité avec la planification des activités ;</w:t>
      </w:r>
    </w:p>
    <w:p w:rsidR="00621BF1" w:rsidRPr="00621BF1" w:rsidRDefault="00621BF1" w:rsidP="00621BF1">
      <w:pPr>
        <w:pStyle w:val="Paragraphedeliste"/>
        <w:numPr>
          <w:ilvl w:val="0"/>
          <w:numId w:val="47"/>
        </w:numPr>
        <w:autoSpaceDE w:val="0"/>
        <w:autoSpaceDN w:val="0"/>
        <w:adjustRightInd w:val="0"/>
        <w:spacing w:before="240" w:after="0"/>
        <w:jc w:val="both"/>
        <w:rPr>
          <w:rFonts w:cs="Times New Roman"/>
          <w:color w:val="000000"/>
          <w:sz w:val="23"/>
          <w:szCs w:val="23"/>
        </w:rPr>
      </w:pPr>
      <w:r w:rsidRPr="00621BF1">
        <w:rPr>
          <w:rFonts w:cs="Times New Roman"/>
          <w:color w:val="000000"/>
          <w:sz w:val="23"/>
          <w:szCs w:val="23"/>
        </w:rPr>
        <w:t>le développement du marketing pour obtenir entre autres l’implication du secteur privé dans le financement de la vaccination ;</w:t>
      </w:r>
    </w:p>
    <w:p w:rsidR="00621BF1" w:rsidRPr="00621BF1" w:rsidRDefault="00621BF1" w:rsidP="00621BF1">
      <w:pPr>
        <w:pStyle w:val="Paragraphedeliste"/>
        <w:numPr>
          <w:ilvl w:val="0"/>
          <w:numId w:val="47"/>
        </w:numPr>
        <w:autoSpaceDE w:val="0"/>
        <w:autoSpaceDN w:val="0"/>
        <w:adjustRightInd w:val="0"/>
        <w:spacing w:before="240" w:after="0"/>
        <w:jc w:val="both"/>
        <w:rPr>
          <w:rFonts w:cs="Times New Roman"/>
          <w:color w:val="000000"/>
          <w:sz w:val="23"/>
          <w:szCs w:val="23"/>
        </w:rPr>
      </w:pPr>
      <w:r w:rsidRPr="00621BF1">
        <w:rPr>
          <w:rFonts w:cs="Times New Roman"/>
          <w:color w:val="000000"/>
          <w:sz w:val="23"/>
          <w:szCs w:val="23"/>
        </w:rPr>
        <w:t>le renforcement de la coopération avec les partenaires pour l’accroissement des ressources en faveur de la vaccination dans l’optique de destiner les recettes issues du recouvrement des coûts à d’autres besoins que celui de la vaccination.</w:t>
      </w:r>
    </w:p>
    <w:p w:rsidR="0018344F" w:rsidRPr="00621BF1" w:rsidRDefault="0018344F" w:rsidP="00431B9D">
      <w:pPr>
        <w:spacing w:after="120"/>
        <w:rPr>
          <w:rFonts w:eastAsiaTheme="majorEastAsia"/>
        </w:rPr>
      </w:pPr>
    </w:p>
    <w:p w:rsidR="0018344F" w:rsidRPr="00621BF1" w:rsidRDefault="0018344F" w:rsidP="00431B9D">
      <w:pPr>
        <w:spacing w:after="120"/>
        <w:rPr>
          <w:rFonts w:eastAsiaTheme="majorEastAsia"/>
        </w:rPr>
      </w:pPr>
    </w:p>
    <w:p w:rsidR="0018344F" w:rsidRPr="00621BF1" w:rsidRDefault="0018344F" w:rsidP="00431B9D">
      <w:pPr>
        <w:spacing w:after="120"/>
        <w:rPr>
          <w:rFonts w:eastAsiaTheme="majorEastAsia"/>
        </w:rPr>
      </w:pPr>
    </w:p>
    <w:p w:rsidR="0018344F" w:rsidRPr="00621BF1" w:rsidRDefault="0018344F" w:rsidP="00431B9D">
      <w:pPr>
        <w:spacing w:after="120"/>
        <w:rPr>
          <w:rFonts w:eastAsiaTheme="majorEastAsia"/>
        </w:rPr>
      </w:pPr>
    </w:p>
    <w:p w:rsidR="0018344F" w:rsidRPr="00621BF1" w:rsidRDefault="0018344F" w:rsidP="00431B9D">
      <w:pPr>
        <w:spacing w:after="120"/>
        <w:rPr>
          <w:rFonts w:eastAsiaTheme="majorEastAsia"/>
        </w:rPr>
      </w:pPr>
    </w:p>
    <w:p w:rsidR="0018344F" w:rsidRPr="00621BF1" w:rsidRDefault="0018344F" w:rsidP="00431B9D">
      <w:pPr>
        <w:spacing w:after="120"/>
        <w:rPr>
          <w:rFonts w:eastAsiaTheme="majorEastAsia"/>
        </w:rPr>
      </w:pPr>
    </w:p>
    <w:p w:rsidR="0018344F" w:rsidRPr="00621BF1" w:rsidRDefault="0018344F" w:rsidP="00431B9D">
      <w:pPr>
        <w:spacing w:after="120"/>
        <w:rPr>
          <w:rFonts w:eastAsiaTheme="majorEastAsia"/>
        </w:rPr>
      </w:pPr>
    </w:p>
    <w:p w:rsidR="0018344F" w:rsidRPr="00621BF1" w:rsidRDefault="0018344F" w:rsidP="00431B9D">
      <w:pPr>
        <w:spacing w:after="120"/>
        <w:rPr>
          <w:rFonts w:eastAsiaTheme="majorEastAsia"/>
        </w:rPr>
        <w:sectPr w:rsidR="0018344F" w:rsidRPr="00621BF1" w:rsidSect="00580D02">
          <w:headerReference w:type="even" r:id="rId34"/>
          <w:headerReference w:type="default" r:id="rId35"/>
          <w:footerReference w:type="default" r:id="rId36"/>
          <w:headerReference w:type="first" r:id="rId37"/>
          <w:pgSz w:w="11906" w:h="16838"/>
          <w:pgMar w:top="1440" w:right="1080" w:bottom="1440" w:left="1080" w:header="706" w:footer="706" w:gutter="0"/>
          <w:cols w:space="708"/>
          <w:docGrid w:linePitch="360"/>
        </w:sectPr>
      </w:pPr>
    </w:p>
    <w:p w:rsidR="00431B9D" w:rsidRPr="00621BF1" w:rsidRDefault="00431B9D" w:rsidP="00DF4FD8">
      <w:pPr>
        <w:pStyle w:val="Titre1"/>
        <w:numPr>
          <w:ilvl w:val="0"/>
          <w:numId w:val="0"/>
        </w:numPr>
        <w:spacing w:before="0" w:after="120"/>
        <w:ind w:left="432" w:hanging="432"/>
      </w:pPr>
      <w:bookmarkStart w:id="207" w:name="_Toc452745803"/>
      <w:bookmarkStart w:id="208" w:name="_Toc452746535"/>
      <w:bookmarkStart w:id="209" w:name="_Toc452747554"/>
      <w:bookmarkStart w:id="210" w:name="_Toc458593673"/>
      <w:r w:rsidRPr="00621BF1">
        <w:lastRenderedPageBreak/>
        <w:t>CONCLUSION</w:t>
      </w:r>
      <w:bookmarkEnd w:id="199"/>
      <w:bookmarkEnd w:id="207"/>
      <w:bookmarkEnd w:id="208"/>
      <w:bookmarkEnd w:id="209"/>
      <w:bookmarkEnd w:id="210"/>
    </w:p>
    <w:p w:rsidR="00505D83" w:rsidRPr="00621BF1" w:rsidRDefault="00505D83" w:rsidP="00505D83">
      <w:pPr>
        <w:jc w:val="both"/>
        <w:rPr>
          <w:rFonts w:eastAsiaTheme="minorEastAsia"/>
          <w:lang w:eastAsia="fr-FR"/>
        </w:rPr>
      </w:pPr>
      <w:r w:rsidRPr="00621BF1">
        <w:rPr>
          <w:rFonts w:eastAsiaTheme="minorEastAsia"/>
          <w:lang w:eastAsia="fr-FR"/>
        </w:rPr>
        <w:t>Le PEV est un programme prioritaire du Ministère de la santé de la Guinée et ses interventions permettent une réduction de la mortalité et de la morbidité liées aux maladies évitables par la vaccination. Le plan pluri annuel complet a été élaboré pour couvrir la période  2016-2020. C’est un document d’orientation en matière de directives, de politiques et de stratégies. Il contribuera à l’amélioration de l’état de santé de la population d’une  manière générale, l’établissement de  l’égalité d’accès de tous aux services de vaccination, l’augmentation  de l’utilisation des services de vaccination par un plus grand nombre de personnes, l’introduction  de nouveaux vaccins (</w:t>
      </w:r>
      <w:proofErr w:type="spellStart"/>
      <w:r w:rsidR="005E6B14">
        <w:rPr>
          <w:rFonts w:eastAsiaTheme="minorEastAsia"/>
          <w:lang w:eastAsia="fr-FR"/>
        </w:rPr>
        <w:t>HépB</w:t>
      </w:r>
      <w:proofErr w:type="spellEnd"/>
      <w:r w:rsidR="005E6B14">
        <w:rPr>
          <w:rFonts w:eastAsiaTheme="minorEastAsia"/>
          <w:lang w:eastAsia="fr-FR"/>
        </w:rPr>
        <w:t xml:space="preserve"> à la naissance, </w:t>
      </w:r>
      <w:r w:rsidR="005E6B14" w:rsidRPr="00621BF1">
        <w:rPr>
          <w:rFonts w:eastAsiaTheme="minorEastAsia"/>
          <w:lang w:eastAsia="fr-FR"/>
        </w:rPr>
        <w:t xml:space="preserve">PCV-13, </w:t>
      </w:r>
      <w:proofErr w:type="spellStart"/>
      <w:r w:rsidR="005E6B14" w:rsidRPr="00621BF1">
        <w:rPr>
          <w:rFonts w:eastAsiaTheme="minorEastAsia"/>
          <w:lang w:eastAsia="fr-FR"/>
        </w:rPr>
        <w:t>Rotavirus</w:t>
      </w:r>
      <w:proofErr w:type="spellEnd"/>
      <w:r w:rsidR="005E6B14" w:rsidRPr="00621BF1">
        <w:rPr>
          <w:rFonts w:eastAsiaTheme="minorEastAsia"/>
          <w:lang w:eastAsia="fr-FR"/>
        </w:rPr>
        <w:t xml:space="preserve">,  </w:t>
      </w:r>
      <w:r w:rsidR="005E6B14">
        <w:rPr>
          <w:rFonts w:eastAsiaTheme="minorEastAsia"/>
          <w:lang w:eastAsia="fr-FR"/>
        </w:rPr>
        <w:t>VAR2, RR</w:t>
      </w:r>
      <w:r w:rsidR="005E6B14" w:rsidRPr="00621BF1">
        <w:rPr>
          <w:rFonts w:eastAsiaTheme="minorEastAsia"/>
          <w:lang w:eastAsia="fr-FR"/>
        </w:rPr>
        <w:t>,</w:t>
      </w:r>
      <w:r w:rsidR="005E6B14" w:rsidRPr="00621BF1">
        <w:rPr>
          <w:sz w:val="16"/>
          <w:szCs w:val="20"/>
        </w:rPr>
        <w:t xml:space="preserve"> </w:t>
      </w:r>
      <w:r w:rsidR="005E6B14">
        <w:rPr>
          <w:rFonts w:eastAsiaTheme="minorEastAsia"/>
          <w:lang w:eastAsia="fr-FR"/>
        </w:rPr>
        <w:t>HPV, Ebola, et</w:t>
      </w:r>
      <w:r w:rsidR="005E6B14" w:rsidRPr="00621BF1">
        <w:rPr>
          <w:rFonts w:eastAsiaTheme="minorEastAsia"/>
          <w:lang w:eastAsia="fr-FR"/>
        </w:rPr>
        <w:t xml:space="preserve"> Men A</w:t>
      </w:r>
      <w:r w:rsidRPr="00621BF1">
        <w:rPr>
          <w:rFonts w:eastAsiaTheme="minorEastAsia"/>
          <w:lang w:eastAsia="fr-FR"/>
        </w:rPr>
        <w:t xml:space="preserve">) ainsi que l’intégration de la vaccination à d’autres interventions sanitaires.  </w:t>
      </w:r>
    </w:p>
    <w:p w:rsidR="00505D83" w:rsidRPr="00621BF1" w:rsidRDefault="00505D83" w:rsidP="00505D83">
      <w:pPr>
        <w:jc w:val="both"/>
        <w:rPr>
          <w:rFonts w:eastAsiaTheme="minorEastAsia"/>
          <w:lang w:eastAsia="fr-FR"/>
        </w:rPr>
      </w:pPr>
      <w:r w:rsidRPr="00621BF1">
        <w:rPr>
          <w:rFonts w:eastAsiaTheme="minorEastAsia"/>
          <w:lang w:eastAsia="fr-FR"/>
        </w:rPr>
        <w:t>Son élaboration a pris en compte les priorités du Plan National de Développement Sanitaire, du Pla de Relance et Résilience du Système de Santé, du Plan de Relance du PEV et du plan d’action mondial pour les vaccins. Ses priorités sont : l’amélioration de l’offre de services de qualité en matière de vaccination, l’élimination de la rougeole, de la fièvre jaune, et des épidémies à méningocoque A, le renforcement  de la surveillance basée sur les cas, la mobilisation des ressources financières pour les vaccinations et l’’introduction des nouveaux vaccins.</w:t>
      </w:r>
    </w:p>
    <w:p w:rsidR="00505D83" w:rsidRPr="00621BF1" w:rsidRDefault="00505D83" w:rsidP="00505D83">
      <w:pPr>
        <w:jc w:val="both"/>
        <w:rPr>
          <w:rFonts w:eastAsiaTheme="minorEastAsia"/>
          <w:lang w:eastAsia="fr-FR"/>
        </w:rPr>
      </w:pPr>
      <w:r w:rsidRPr="00621BF1">
        <w:rPr>
          <w:rFonts w:eastAsiaTheme="minorEastAsia"/>
          <w:lang w:eastAsia="fr-FR"/>
        </w:rPr>
        <w:t>Ce plan servira également de document d’orientation stratégique et de référence nationale pour la  planification des activités de vaccination et de la mobilisation du financement. Sa mise en œuvre exige le développement d’un partenariat actif et une bonne coordination de tous les partenaires du PEV pour mobiliser l’ensemble des ressources requises. L’atteinte des objectifs du plan nécessite un engagement  de tous les intervenants au niveau national et des partenaires techniques et financiers afin de mobiliser les ressources nécessaires pour sa mise en œuvre.</w:t>
      </w:r>
    </w:p>
    <w:p w:rsidR="00431B9D" w:rsidRPr="00621BF1" w:rsidRDefault="00431B9D" w:rsidP="00505D83">
      <w:pPr>
        <w:spacing w:after="120"/>
        <w:jc w:val="both"/>
        <w:rPr>
          <w:rFonts w:eastAsiaTheme="minorEastAsia"/>
          <w:sz w:val="24"/>
          <w:lang w:eastAsia="fr-FR"/>
        </w:rPr>
      </w:pPr>
    </w:p>
    <w:p w:rsidR="00431B9D" w:rsidRPr="00621BF1" w:rsidRDefault="00431B9D" w:rsidP="00DF4FD8">
      <w:pPr>
        <w:rPr>
          <w:rFonts w:eastAsiaTheme="minorEastAsia"/>
          <w:sz w:val="24"/>
          <w:lang w:eastAsia="fr-FR"/>
        </w:rPr>
      </w:pPr>
    </w:p>
    <w:p w:rsidR="00431B9D" w:rsidRPr="00621BF1" w:rsidRDefault="00431B9D" w:rsidP="00DF4FD8">
      <w:pPr>
        <w:rPr>
          <w:rFonts w:eastAsiaTheme="minorEastAsia"/>
          <w:sz w:val="24"/>
          <w:lang w:eastAsia="fr-FR"/>
        </w:rPr>
      </w:pPr>
    </w:p>
    <w:p w:rsidR="00431B9D" w:rsidRPr="00621BF1" w:rsidRDefault="00431B9D" w:rsidP="00DF4FD8">
      <w:pPr>
        <w:rPr>
          <w:rFonts w:eastAsiaTheme="minorEastAsia"/>
          <w:sz w:val="24"/>
          <w:lang w:eastAsia="fr-FR"/>
        </w:rPr>
      </w:pPr>
    </w:p>
    <w:p w:rsidR="00431B9D" w:rsidRPr="00621BF1" w:rsidRDefault="00431B9D" w:rsidP="00DF4FD8">
      <w:pPr>
        <w:rPr>
          <w:rFonts w:eastAsiaTheme="minorEastAsia"/>
          <w:sz w:val="24"/>
          <w:lang w:eastAsia="fr-FR"/>
        </w:rPr>
      </w:pPr>
    </w:p>
    <w:p w:rsidR="00431B9D" w:rsidRPr="00621BF1" w:rsidRDefault="00431B9D" w:rsidP="00DF4FD8"/>
    <w:p w:rsidR="005F684D" w:rsidRPr="00621BF1" w:rsidRDefault="005F684D" w:rsidP="00DF4FD8"/>
    <w:p w:rsidR="005F684D" w:rsidRPr="00621BF1" w:rsidRDefault="005F684D" w:rsidP="00DF4FD8"/>
    <w:p w:rsidR="005F684D" w:rsidRPr="00621BF1" w:rsidRDefault="005F684D" w:rsidP="00DF4FD8"/>
    <w:p w:rsidR="005F684D" w:rsidRPr="00621BF1" w:rsidRDefault="005F684D" w:rsidP="00DF4FD8"/>
    <w:p w:rsidR="00431B9D" w:rsidRPr="00621BF1" w:rsidRDefault="00431B9D" w:rsidP="00DF4FD8"/>
    <w:p w:rsidR="00431B9D" w:rsidRPr="00621BF1" w:rsidRDefault="00431B9D" w:rsidP="00DF4FD8"/>
    <w:p w:rsidR="005D787D" w:rsidRPr="00621BF1" w:rsidRDefault="005D787D" w:rsidP="00DF4FD8"/>
    <w:p w:rsidR="00431B9D" w:rsidRPr="00621BF1" w:rsidRDefault="00431B9D" w:rsidP="00DF4FD8">
      <w:pPr>
        <w:pStyle w:val="Titre1"/>
        <w:numPr>
          <w:ilvl w:val="0"/>
          <w:numId w:val="0"/>
        </w:numPr>
        <w:shd w:val="clear" w:color="auto" w:fill="C45911" w:themeFill="accent2" w:themeFillShade="BF"/>
        <w:spacing w:before="0" w:after="120"/>
        <w:rPr>
          <w:rFonts w:cs="Arial"/>
          <w:color w:val="FFFFFF" w:themeColor="background1"/>
          <w:sz w:val="56"/>
        </w:rPr>
      </w:pPr>
      <w:r w:rsidRPr="00621BF1">
        <w:rPr>
          <w:rFonts w:cs="Arial"/>
          <w:color w:val="FFFFFF" w:themeColor="background1"/>
          <w:sz w:val="56"/>
        </w:rPr>
        <w:lastRenderedPageBreak/>
        <w:t xml:space="preserve">                   </w:t>
      </w:r>
      <w:bookmarkStart w:id="211" w:name="_Toc452745804"/>
      <w:bookmarkStart w:id="212" w:name="_Toc452746536"/>
      <w:bookmarkStart w:id="213" w:name="_Toc452747555"/>
      <w:bookmarkStart w:id="214" w:name="_Toc458593674"/>
      <w:r w:rsidRPr="00621BF1">
        <w:rPr>
          <w:rFonts w:cs="Arial"/>
          <w:color w:val="FFFFFF" w:themeColor="background1"/>
          <w:sz w:val="56"/>
        </w:rPr>
        <w:t>ANNEXES</w:t>
      </w:r>
      <w:bookmarkEnd w:id="211"/>
      <w:bookmarkEnd w:id="212"/>
      <w:bookmarkEnd w:id="213"/>
      <w:bookmarkEnd w:id="214"/>
    </w:p>
    <w:p w:rsidR="00431B9D" w:rsidRPr="00621BF1" w:rsidRDefault="00431B9D" w:rsidP="00431B9D">
      <w:pPr>
        <w:spacing w:after="120"/>
      </w:pPr>
    </w:p>
    <w:p w:rsidR="00431B9D" w:rsidRPr="00621BF1" w:rsidRDefault="00431B9D" w:rsidP="00431B9D">
      <w:pPr>
        <w:spacing w:after="120"/>
      </w:pPr>
    </w:p>
    <w:p w:rsidR="00431B9D" w:rsidRPr="00621BF1" w:rsidRDefault="00431B9D" w:rsidP="00431B9D">
      <w:pPr>
        <w:spacing w:after="120"/>
      </w:pPr>
      <w:r w:rsidRPr="00621BF1">
        <w:t>Annexe 1 : Plan d’action opérationnel pour les années 2016 et 2017</w:t>
      </w:r>
    </w:p>
    <w:p w:rsidR="00431B9D" w:rsidRPr="00621BF1" w:rsidRDefault="00431B9D" w:rsidP="00431B9D">
      <w:pPr>
        <w:spacing w:after="120"/>
      </w:pPr>
      <w:r w:rsidRPr="00621BF1">
        <w:t>Annexe 2 : Liste de la commission de rédaction du PPAC 2016-2020</w:t>
      </w:r>
    </w:p>
    <w:p w:rsidR="00431B9D" w:rsidRPr="00621BF1" w:rsidRDefault="00431B9D" w:rsidP="00431B9D">
      <w:pPr>
        <w:spacing w:after="120"/>
      </w:pPr>
      <w:r w:rsidRPr="00621BF1">
        <w:t>Annexe 3 : Liste de présence de la validation du PPAC 2016-2020</w:t>
      </w:r>
    </w:p>
    <w:p w:rsidR="00431B9D" w:rsidRPr="00621BF1" w:rsidRDefault="00431B9D" w:rsidP="00431B9D">
      <w:pPr>
        <w:spacing w:after="120"/>
      </w:pPr>
      <w:r w:rsidRPr="00621BF1">
        <w:br w:type="page"/>
      </w:r>
    </w:p>
    <w:p w:rsidR="00FF5AA5" w:rsidRPr="00621BF1" w:rsidRDefault="00431B9D" w:rsidP="00431B9D">
      <w:pPr>
        <w:spacing w:after="120"/>
      </w:pPr>
      <w:r w:rsidRPr="00621BF1">
        <w:lastRenderedPageBreak/>
        <w:t>Annexe 2 : Liste de la commission de rédaction du PPAC 2016-2020</w:t>
      </w:r>
    </w:p>
    <w:tbl>
      <w:tblPr>
        <w:tblW w:w="10260" w:type="dxa"/>
        <w:tblInd w:w="-2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firstRow="1" w:lastRow="0" w:firstColumn="1" w:lastColumn="0" w:noHBand="0" w:noVBand="1"/>
      </w:tblPr>
      <w:tblGrid>
        <w:gridCol w:w="450"/>
        <w:gridCol w:w="2340"/>
        <w:gridCol w:w="2502"/>
        <w:gridCol w:w="2070"/>
        <w:gridCol w:w="2898"/>
      </w:tblGrid>
      <w:tr w:rsidR="00431B9D" w:rsidRPr="00621BF1" w:rsidTr="00ED0C53">
        <w:trPr>
          <w:trHeight w:val="510"/>
          <w:tblHeader/>
        </w:trPr>
        <w:tc>
          <w:tcPr>
            <w:tcW w:w="450" w:type="dxa"/>
            <w:shd w:val="clear" w:color="auto" w:fill="C45911" w:themeFill="accent2" w:themeFillShade="BF"/>
            <w:vAlign w:val="center"/>
          </w:tcPr>
          <w:p w:rsidR="00431B9D" w:rsidRPr="00621BF1" w:rsidRDefault="00431B9D" w:rsidP="00ED0C53">
            <w:pPr>
              <w:spacing w:after="120"/>
              <w:jc w:val="center"/>
              <w:rPr>
                <w:rFonts w:cs="Arial"/>
                <w:b/>
                <w:color w:val="FFFFFF" w:themeColor="background1"/>
                <w:szCs w:val="20"/>
              </w:rPr>
            </w:pPr>
            <w:r w:rsidRPr="00621BF1">
              <w:rPr>
                <w:rFonts w:cs="Arial"/>
                <w:b/>
                <w:color w:val="FFFFFF" w:themeColor="background1"/>
                <w:szCs w:val="20"/>
              </w:rPr>
              <w:t>≠</w:t>
            </w:r>
          </w:p>
        </w:tc>
        <w:tc>
          <w:tcPr>
            <w:tcW w:w="2340" w:type="dxa"/>
            <w:shd w:val="clear" w:color="auto" w:fill="C45911" w:themeFill="accent2" w:themeFillShade="BF"/>
            <w:vAlign w:val="center"/>
          </w:tcPr>
          <w:p w:rsidR="00431B9D" w:rsidRPr="00621BF1" w:rsidRDefault="00431B9D" w:rsidP="00ED0C53">
            <w:pPr>
              <w:spacing w:after="120"/>
              <w:rPr>
                <w:rFonts w:cs="Arial"/>
                <w:b/>
                <w:color w:val="FFFFFF" w:themeColor="background1"/>
                <w:szCs w:val="20"/>
              </w:rPr>
            </w:pPr>
            <w:r w:rsidRPr="00621BF1">
              <w:rPr>
                <w:rFonts w:cs="Arial"/>
                <w:b/>
                <w:color w:val="FFFFFF" w:themeColor="background1"/>
                <w:szCs w:val="20"/>
              </w:rPr>
              <w:t>Prénoms et Nom</w:t>
            </w:r>
          </w:p>
        </w:tc>
        <w:tc>
          <w:tcPr>
            <w:tcW w:w="2502" w:type="dxa"/>
            <w:shd w:val="clear" w:color="auto" w:fill="C45911" w:themeFill="accent2" w:themeFillShade="BF"/>
            <w:vAlign w:val="center"/>
          </w:tcPr>
          <w:p w:rsidR="00431B9D" w:rsidRPr="00621BF1" w:rsidRDefault="00431B9D" w:rsidP="00ED0C53">
            <w:pPr>
              <w:spacing w:after="120"/>
              <w:jc w:val="center"/>
              <w:rPr>
                <w:rFonts w:cs="Arial"/>
                <w:b/>
                <w:color w:val="FFFFFF" w:themeColor="background1"/>
                <w:szCs w:val="20"/>
              </w:rPr>
            </w:pPr>
            <w:r w:rsidRPr="00621BF1">
              <w:rPr>
                <w:rFonts w:cs="Arial"/>
                <w:b/>
                <w:color w:val="FFFFFF" w:themeColor="background1"/>
                <w:szCs w:val="20"/>
              </w:rPr>
              <w:t>Service/Fonction</w:t>
            </w:r>
          </w:p>
        </w:tc>
        <w:tc>
          <w:tcPr>
            <w:tcW w:w="2070" w:type="dxa"/>
            <w:shd w:val="clear" w:color="auto" w:fill="C45911" w:themeFill="accent2" w:themeFillShade="BF"/>
            <w:vAlign w:val="center"/>
          </w:tcPr>
          <w:p w:rsidR="00431B9D" w:rsidRPr="00621BF1" w:rsidRDefault="00431B9D" w:rsidP="00ED0C53">
            <w:pPr>
              <w:spacing w:after="120"/>
              <w:jc w:val="center"/>
              <w:rPr>
                <w:rFonts w:cs="Arial"/>
                <w:b/>
                <w:color w:val="FFFFFF" w:themeColor="background1"/>
                <w:szCs w:val="20"/>
              </w:rPr>
            </w:pPr>
            <w:r w:rsidRPr="00621BF1">
              <w:rPr>
                <w:rFonts w:cs="Arial"/>
                <w:b/>
                <w:color w:val="FFFFFF" w:themeColor="background1"/>
                <w:szCs w:val="20"/>
              </w:rPr>
              <w:t xml:space="preserve">Téléphone </w:t>
            </w:r>
          </w:p>
        </w:tc>
        <w:tc>
          <w:tcPr>
            <w:tcW w:w="2898" w:type="dxa"/>
            <w:shd w:val="clear" w:color="auto" w:fill="C45911" w:themeFill="accent2" w:themeFillShade="BF"/>
            <w:vAlign w:val="center"/>
          </w:tcPr>
          <w:p w:rsidR="00431B9D" w:rsidRPr="00621BF1" w:rsidRDefault="00431B9D" w:rsidP="00ED0C53">
            <w:pPr>
              <w:spacing w:after="120"/>
              <w:jc w:val="center"/>
              <w:rPr>
                <w:rFonts w:cs="Arial"/>
                <w:b/>
                <w:color w:val="FFFFFF" w:themeColor="background1"/>
                <w:szCs w:val="20"/>
              </w:rPr>
            </w:pPr>
            <w:r w:rsidRPr="00621BF1">
              <w:rPr>
                <w:rFonts w:cs="Arial"/>
                <w:b/>
                <w:color w:val="FFFFFF" w:themeColor="background1"/>
                <w:szCs w:val="20"/>
              </w:rPr>
              <w:t>e-mail</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Dr Moustapha DABO</w:t>
            </w:r>
          </w:p>
        </w:tc>
        <w:tc>
          <w:tcPr>
            <w:tcW w:w="2502" w:type="dxa"/>
            <w:vAlign w:val="center"/>
          </w:tcPr>
          <w:p w:rsidR="00431B9D" w:rsidRPr="00892671" w:rsidRDefault="00451C16" w:rsidP="00ED0C53">
            <w:pPr>
              <w:spacing w:after="120"/>
              <w:jc w:val="center"/>
              <w:rPr>
                <w:rFonts w:cs="Arial"/>
                <w:sz w:val="20"/>
                <w:szCs w:val="20"/>
              </w:rPr>
            </w:pPr>
            <w:proofErr w:type="spellStart"/>
            <w:r w:rsidRPr="00892671">
              <w:rPr>
                <w:rFonts w:cs="Arial"/>
                <w:sz w:val="20"/>
                <w:szCs w:val="20"/>
              </w:rPr>
              <w:t>Coordo</w:t>
            </w:r>
            <w:r w:rsidR="00431B9D" w:rsidRPr="00892671">
              <w:rPr>
                <w:rFonts w:cs="Arial"/>
                <w:sz w:val="20"/>
                <w:szCs w:val="20"/>
              </w:rPr>
              <w:t>nateur</w:t>
            </w:r>
            <w:proofErr w:type="spellEnd"/>
            <w:r w:rsidR="00431B9D" w:rsidRPr="00892671">
              <w:rPr>
                <w:rFonts w:cs="Arial"/>
                <w:sz w:val="20"/>
                <w:szCs w:val="20"/>
              </w:rPr>
              <w:t xml:space="preserve"> National </w:t>
            </w:r>
            <w:r w:rsidRPr="00892671">
              <w:rPr>
                <w:rFonts w:cs="Arial"/>
                <w:sz w:val="20"/>
                <w:szCs w:val="20"/>
              </w:rPr>
              <w:t xml:space="preserve">du </w:t>
            </w:r>
            <w:r w:rsidR="00431B9D" w:rsidRPr="00892671">
              <w:rPr>
                <w:rFonts w:cs="Arial"/>
                <w:sz w:val="20"/>
                <w:szCs w:val="20"/>
              </w:rPr>
              <w:t>PEV/SSP/ME</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622 98 17 18</w:t>
            </w:r>
          </w:p>
        </w:tc>
        <w:tc>
          <w:tcPr>
            <w:tcW w:w="2898" w:type="dxa"/>
            <w:vAlign w:val="center"/>
          </w:tcPr>
          <w:p w:rsidR="00431B9D" w:rsidRPr="00621BF1" w:rsidRDefault="00813A59" w:rsidP="00ED0C53">
            <w:pPr>
              <w:spacing w:after="120"/>
              <w:jc w:val="center"/>
              <w:rPr>
                <w:rFonts w:cs="Arial"/>
                <w:sz w:val="20"/>
                <w:szCs w:val="20"/>
              </w:rPr>
            </w:pPr>
            <w:hyperlink r:id="rId38" w:history="1">
              <w:r w:rsidR="00431B9D" w:rsidRPr="00621BF1">
                <w:rPr>
                  <w:rStyle w:val="Lienhypertexte"/>
                  <w:rFonts w:cs="Arial"/>
                </w:rPr>
                <w:t>dabo.gnara@gmail.com</w:t>
              </w:r>
            </w:hyperlink>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2</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Dr Aly CAMARA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Chef Section Suivi-Evaluation et Recherches/PEV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620 71 80 20</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Camaraly@gmail.com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3</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Dr </w:t>
            </w:r>
            <w:proofErr w:type="spellStart"/>
            <w:r w:rsidRPr="00621BF1">
              <w:rPr>
                <w:rFonts w:cs="Arial"/>
                <w:sz w:val="20"/>
                <w:szCs w:val="20"/>
              </w:rPr>
              <w:t>Djénou</w:t>
            </w:r>
            <w:proofErr w:type="spellEnd"/>
            <w:r w:rsidRPr="00621BF1">
              <w:rPr>
                <w:rFonts w:cs="Arial"/>
                <w:sz w:val="20"/>
                <w:szCs w:val="20"/>
              </w:rPr>
              <w:t xml:space="preserve"> SOMPARE</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Chef Section Immunisation/PEV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621 77 88 58</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Somparedjénou1956@gmail.com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4</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Dr </w:t>
            </w:r>
            <w:proofErr w:type="spellStart"/>
            <w:r w:rsidRPr="00621BF1">
              <w:rPr>
                <w:rFonts w:cs="Arial"/>
                <w:sz w:val="20"/>
                <w:szCs w:val="20"/>
              </w:rPr>
              <w:t>Mariama</w:t>
            </w:r>
            <w:proofErr w:type="spellEnd"/>
            <w:r w:rsidRPr="00621BF1">
              <w:rPr>
                <w:rFonts w:cs="Arial"/>
                <w:sz w:val="20"/>
                <w:szCs w:val="20"/>
              </w:rPr>
              <w:t xml:space="preserve"> </w:t>
            </w:r>
            <w:proofErr w:type="spellStart"/>
            <w:r w:rsidRPr="00621BF1">
              <w:rPr>
                <w:rFonts w:cs="Arial"/>
                <w:sz w:val="20"/>
                <w:szCs w:val="20"/>
              </w:rPr>
              <w:t>Hann</w:t>
            </w:r>
            <w:proofErr w:type="spellEnd"/>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Chef Section Communication/   Mobilisation Sociale/PEV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 xml:space="preserve">624 19 74 65 </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hannmariama@gmail.com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5</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Mr Idrissa BANGOURA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Comptable-Financier/PEV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628 38 70 05</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Idrissa_bangus@yahoo.fr</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6</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Dr </w:t>
            </w:r>
            <w:proofErr w:type="spellStart"/>
            <w:r w:rsidRPr="00621BF1">
              <w:rPr>
                <w:rFonts w:cs="Arial"/>
                <w:sz w:val="20"/>
                <w:szCs w:val="20"/>
              </w:rPr>
              <w:t>Samah</w:t>
            </w:r>
            <w:proofErr w:type="spellEnd"/>
            <w:r w:rsidRPr="00621BF1">
              <w:rPr>
                <w:rFonts w:cs="Arial"/>
                <w:sz w:val="20"/>
                <w:szCs w:val="20"/>
              </w:rPr>
              <w:t xml:space="preserve"> YOMBOUNO</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Charger de la Logistique /PEV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664 34 64 08</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syombounoand@yahoo.com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7</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Dr Mohamed </w:t>
            </w:r>
            <w:proofErr w:type="spellStart"/>
            <w:r w:rsidRPr="00621BF1">
              <w:rPr>
                <w:rFonts w:cs="Arial"/>
                <w:sz w:val="20"/>
                <w:szCs w:val="20"/>
              </w:rPr>
              <w:t>Salif</w:t>
            </w:r>
            <w:proofErr w:type="spellEnd"/>
            <w:r w:rsidRPr="00621BF1">
              <w:rPr>
                <w:rFonts w:cs="Arial"/>
                <w:sz w:val="20"/>
                <w:szCs w:val="20"/>
              </w:rPr>
              <w:t xml:space="preserve"> SYLLA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 xml:space="preserve">Charger de la Surveillance/PEV </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622 54 40 70</w:t>
            </w:r>
          </w:p>
        </w:tc>
        <w:tc>
          <w:tcPr>
            <w:tcW w:w="2898" w:type="dxa"/>
            <w:vAlign w:val="center"/>
          </w:tcPr>
          <w:p w:rsidR="00431B9D" w:rsidRPr="00621BF1" w:rsidRDefault="00813A59" w:rsidP="00ED0C53">
            <w:pPr>
              <w:spacing w:after="120"/>
              <w:jc w:val="center"/>
              <w:rPr>
                <w:rFonts w:cs="Arial"/>
                <w:sz w:val="20"/>
                <w:szCs w:val="20"/>
              </w:rPr>
            </w:pPr>
            <w:hyperlink r:id="rId39" w:history="1">
              <w:r w:rsidR="00B3527A" w:rsidRPr="00F31B66">
                <w:rPr>
                  <w:rStyle w:val="Lienhypertexte"/>
                  <w:rFonts w:cs="Arial"/>
                  <w:sz w:val="20"/>
                  <w:szCs w:val="20"/>
                </w:rPr>
                <w:t>Smedylla@gmail.com</w:t>
              </w:r>
            </w:hyperlink>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8</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Dr Boubacar DIALLO</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 xml:space="preserve">Charger de la Recherche/PEV </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664 40 22 17</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boubakard@hotmail.com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9</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Dr Mamadou </w:t>
            </w:r>
            <w:proofErr w:type="spellStart"/>
            <w:r w:rsidRPr="00621BF1">
              <w:rPr>
                <w:rFonts w:cs="Arial"/>
                <w:sz w:val="20"/>
                <w:szCs w:val="20"/>
              </w:rPr>
              <w:t>Dian</w:t>
            </w:r>
            <w:proofErr w:type="spellEnd"/>
            <w:r w:rsidRPr="00621BF1">
              <w:rPr>
                <w:rFonts w:cs="Arial"/>
                <w:sz w:val="20"/>
                <w:szCs w:val="20"/>
              </w:rPr>
              <w:t xml:space="preserve"> BAH</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Gestionnaire des données/PEV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622 34 97 42</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mdudianbah@gmail.com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10</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Mr </w:t>
            </w:r>
            <w:proofErr w:type="spellStart"/>
            <w:r w:rsidRPr="00621BF1">
              <w:rPr>
                <w:rFonts w:cs="Arial"/>
                <w:sz w:val="20"/>
                <w:szCs w:val="20"/>
              </w:rPr>
              <w:t>Lansana</w:t>
            </w:r>
            <w:proofErr w:type="spellEnd"/>
            <w:r w:rsidRPr="00621BF1">
              <w:rPr>
                <w:rFonts w:cs="Arial"/>
                <w:sz w:val="20"/>
                <w:szCs w:val="20"/>
              </w:rPr>
              <w:t xml:space="preserve"> CAMARA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Assistant Logistique/PEV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628 67 53 88</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Lcamara06 @yahoo.fr</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11</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Mme </w:t>
            </w:r>
            <w:proofErr w:type="spellStart"/>
            <w:r w:rsidRPr="00621BF1">
              <w:rPr>
                <w:rFonts w:cs="Arial"/>
                <w:sz w:val="20"/>
                <w:szCs w:val="20"/>
              </w:rPr>
              <w:t>Habibatou</w:t>
            </w:r>
            <w:proofErr w:type="spellEnd"/>
            <w:r w:rsidRPr="00621BF1">
              <w:rPr>
                <w:rFonts w:cs="Arial"/>
                <w:sz w:val="20"/>
                <w:szCs w:val="20"/>
              </w:rPr>
              <w:t xml:space="preserve"> CONTE</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Secrétaire PEV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664 33 46 92</w:t>
            </w:r>
          </w:p>
        </w:tc>
        <w:tc>
          <w:tcPr>
            <w:tcW w:w="2898" w:type="dxa"/>
            <w:vAlign w:val="center"/>
          </w:tcPr>
          <w:p w:rsidR="00431B9D" w:rsidRPr="00621BF1" w:rsidRDefault="00431B9D" w:rsidP="00ED0C53">
            <w:pPr>
              <w:spacing w:after="120"/>
              <w:jc w:val="center"/>
              <w:rPr>
                <w:rFonts w:cs="Arial"/>
                <w:sz w:val="20"/>
                <w:szCs w:val="20"/>
              </w:rPr>
            </w:pP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12</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Mme </w:t>
            </w:r>
            <w:proofErr w:type="spellStart"/>
            <w:r w:rsidRPr="00621BF1">
              <w:rPr>
                <w:rFonts w:cs="Arial"/>
                <w:sz w:val="20"/>
                <w:szCs w:val="20"/>
              </w:rPr>
              <w:t>Housseinatou</w:t>
            </w:r>
            <w:proofErr w:type="spellEnd"/>
            <w:r w:rsidRPr="00621BF1">
              <w:rPr>
                <w:rFonts w:cs="Arial"/>
                <w:sz w:val="20"/>
                <w:szCs w:val="20"/>
              </w:rPr>
              <w:t xml:space="preserve"> DIALLO</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Secrétaire/PEV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622 27 52 98</w:t>
            </w:r>
          </w:p>
        </w:tc>
        <w:tc>
          <w:tcPr>
            <w:tcW w:w="2898" w:type="dxa"/>
            <w:vAlign w:val="center"/>
          </w:tcPr>
          <w:p w:rsidR="00431B9D" w:rsidRPr="00621BF1" w:rsidRDefault="00431B9D" w:rsidP="00ED0C53">
            <w:pPr>
              <w:spacing w:after="120"/>
              <w:jc w:val="center"/>
              <w:rPr>
                <w:rFonts w:cs="Arial"/>
                <w:sz w:val="20"/>
                <w:szCs w:val="20"/>
              </w:rPr>
            </w:pP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13</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Dr Yousouf  KPOHGOMOU</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DRS</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623 87 62 50</w:t>
            </w:r>
          </w:p>
        </w:tc>
        <w:tc>
          <w:tcPr>
            <w:tcW w:w="2898" w:type="dxa"/>
            <w:vAlign w:val="center"/>
          </w:tcPr>
          <w:p w:rsidR="00431B9D" w:rsidRPr="00621BF1" w:rsidRDefault="00431B9D" w:rsidP="00ED0C53">
            <w:pPr>
              <w:spacing w:after="120"/>
              <w:jc w:val="center"/>
              <w:rPr>
                <w:rFonts w:cs="Arial"/>
                <w:sz w:val="20"/>
                <w:szCs w:val="20"/>
              </w:rPr>
            </w:pP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14</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Brigitte LOUA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DPS Kindia</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623 33 93 91</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beremiceloua@gmail.com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15</w:t>
            </w:r>
          </w:p>
        </w:tc>
        <w:tc>
          <w:tcPr>
            <w:tcW w:w="2340" w:type="dxa"/>
            <w:vAlign w:val="center"/>
          </w:tcPr>
          <w:p w:rsidR="00431B9D" w:rsidRPr="00621BF1" w:rsidRDefault="00431B9D" w:rsidP="00ED0C53">
            <w:pPr>
              <w:spacing w:after="120"/>
              <w:rPr>
                <w:rFonts w:cs="Arial"/>
                <w:sz w:val="20"/>
                <w:szCs w:val="20"/>
              </w:rPr>
            </w:pPr>
            <w:proofErr w:type="spellStart"/>
            <w:r w:rsidRPr="00621BF1">
              <w:rPr>
                <w:rFonts w:cs="Arial"/>
                <w:sz w:val="20"/>
                <w:szCs w:val="20"/>
              </w:rPr>
              <w:t>Nyankoé</w:t>
            </w:r>
            <w:proofErr w:type="spellEnd"/>
            <w:r w:rsidRPr="00621BF1">
              <w:rPr>
                <w:rFonts w:cs="Arial"/>
                <w:sz w:val="20"/>
                <w:szCs w:val="20"/>
              </w:rPr>
              <w:t xml:space="preserve"> Noël MALEMOU </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 xml:space="preserve">Agent PEV/CS </w:t>
            </w:r>
            <w:proofErr w:type="spellStart"/>
            <w:r w:rsidRPr="00621BF1">
              <w:rPr>
                <w:rFonts w:cs="Arial"/>
                <w:sz w:val="20"/>
                <w:szCs w:val="20"/>
              </w:rPr>
              <w:t>Friguiyagbe</w:t>
            </w:r>
            <w:proofErr w:type="spellEnd"/>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628 98 17 39</w:t>
            </w:r>
          </w:p>
        </w:tc>
        <w:tc>
          <w:tcPr>
            <w:tcW w:w="2898" w:type="dxa"/>
            <w:vAlign w:val="center"/>
          </w:tcPr>
          <w:p w:rsidR="00431B9D" w:rsidRPr="00621BF1" w:rsidRDefault="00431B9D" w:rsidP="00ED0C53">
            <w:pPr>
              <w:spacing w:after="120"/>
              <w:jc w:val="center"/>
              <w:rPr>
                <w:rFonts w:cs="Arial"/>
                <w:sz w:val="20"/>
                <w:szCs w:val="20"/>
              </w:rPr>
            </w:pP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16</w:t>
            </w:r>
          </w:p>
        </w:tc>
        <w:tc>
          <w:tcPr>
            <w:tcW w:w="2340" w:type="dxa"/>
            <w:vAlign w:val="center"/>
          </w:tcPr>
          <w:p w:rsidR="00431B9D" w:rsidRPr="00621BF1" w:rsidRDefault="00431B9D" w:rsidP="00ED0C53">
            <w:pPr>
              <w:spacing w:after="120"/>
              <w:rPr>
                <w:rFonts w:cs="Arial"/>
                <w:sz w:val="20"/>
                <w:szCs w:val="20"/>
              </w:rPr>
            </w:pPr>
            <w:proofErr w:type="spellStart"/>
            <w:r w:rsidRPr="00621BF1">
              <w:rPr>
                <w:rFonts w:cs="Arial"/>
                <w:sz w:val="20"/>
                <w:szCs w:val="20"/>
              </w:rPr>
              <w:t>Kanfory</w:t>
            </w:r>
            <w:proofErr w:type="spellEnd"/>
            <w:r w:rsidRPr="00621BF1">
              <w:rPr>
                <w:rFonts w:cs="Arial"/>
                <w:sz w:val="20"/>
                <w:szCs w:val="20"/>
              </w:rPr>
              <w:t xml:space="preserve"> CAMARA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Membre du CCIA</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628 95 70 44</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Kanforycamara207@yahoo.fr</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17</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Fodé </w:t>
            </w:r>
            <w:proofErr w:type="spellStart"/>
            <w:r w:rsidRPr="00621BF1">
              <w:rPr>
                <w:rFonts w:cs="Arial"/>
                <w:sz w:val="20"/>
                <w:szCs w:val="20"/>
              </w:rPr>
              <w:t>Lumceny</w:t>
            </w:r>
            <w:proofErr w:type="spellEnd"/>
            <w:r w:rsidRPr="00621BF1">
              <w:rPr>
                <w:rFonts w:cs="Arial"/>
                <w:sz w:val="20"/>
                <w:szCs w:val="20"/>
              </w:rPr>
              <w:t xml:space="preserve"> CAMARA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Membre du CCIA</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 xml:space="preserve">628 54 14 77 </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lumcenyfe@gmail.com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18</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Hon Dr Christian </w:t>
            </w:r>
            <w:proofErr w:type="spellStart"/>
            <w:r w:rsidRPr="00621BF1">
              <w:rPr>
                <w:rFonts w:cs="Arial"/>
                <w:sz w:val="20"/>
                <w:szCs w:val="20"/>
              </w:rPr>
              <w:t>Sinata</w:t>
            </w:r>
            <w:proofErr w:type="spellEnd"/>
            <w:r w:rsidRPr="00621BF1">
              <w:rPr>
                <w:rFonts w:cs="Arial"/>
                <w:sz w:val="20"/>
                <w:szCs w:val="20"/>
              </w:rPr>
              <w:t xml:space="preserve"> TOURE</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Assemblé Nationale</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622 30 26 75</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Christsina_toure@hotmail.fr</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19</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El Mamadou </w:t>
            </w:r>
            <w:proofErr w:type="spellStart"/>
            <w:r w:rsidRPr="00621BF1">
              <w:rPr>
                <w:rFonts w:cs="Arial"/>
                <w:sz w:val="20"/>
                <w:szCs w:val="20"/>
              </w:rPr>
              <w:t>Aliou</w:t>
            </w:r>
            <w:proofErr w:type="spellEnd"/>
            <w:r w:rsidRPr="00621BF1">
              <w:rPr>
                <w:rFonts w:cs="Arial"/>
                <w:sz w:val="20"/>
                <w:szCs w:val="20"/>
              </w:rPr>
              <w:t xml:space="preserve">  DIALLO</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Ministère de l’Economie et des Finances</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622 37 62 00</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alioufady97@yahoo.com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lastRenderedPageBreak/>
              <w:t>20</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Abou  KEITA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Ministère de Budget</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621 17 66 92</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keitabou2002@yahoo.fr</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21</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Abdoulaye DIALLO</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MASPF/Enfance</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628 36 15 52</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ablayesakina@gmail.com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22</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Mr Boubacar SYLLA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Société civile/POSSAV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628 57 11 78</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boubasylla@gmail.com</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23</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Fatoumata Camus CAMARA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Société civile/POSSAV</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621 16 11 15</w:t>
            </w:r>
          </w:p>
        </w:tc>
        <w:tc>
          <w:tcPr>
            <w:tcW w:w="2898" w:type="dxa"/>
            <w:vAlign w:val="center"/>
          </w:tcPr>
          <w:p w:rsidR="00431B9D" w:rsidRPr="00621BF1" w:rsidRDefault="00813A59" w:rsidP="00ED0C53">
            <w:pPr>
              <w:spacing w:after="120"/>
              <w:jc w:val="center"/>
              <w:rPr>
                <w:rFonts w:cs="Arial"/>
                <w:sz w:val="20"/>
                <w:szCs w:val="20"/>
              </w:rPr>
            </w:pPr>
            <w:hyperlink r:id="rId40" w:history="1">
              <w:r w:rsidR="00B3527A" w:rsidRPr="00F31B66">
                <w:rPr>
                  <w:rStyle w:val="Lienhypertexte"/>
                  <w:rFonts w:cs="Arial"/>
                  <w:sz w:val="20"/>
                  <w:szCs w:val="20"/>
                </w:rPr>
                <w:t>camarafatoumatacamus@gmail.com</w:t>
              </w:r>
            </w:hyperlink>
          </w:p>
        </w:tc>
      </w:tr>
      <w:tr w:rsidR="007A0795" w:rsidRPr="00621BF1" w:rsidTr="00ED0C53">
        <w:trPr>
          <w:trHeight w:val="510"/>
        </w:trPr>
        <w:tc>
          <w:tcPr>
            <w:tcW w:w="450" w:type="dxa"/>
            <w:vAlign w:val="center"/>
          </w:tcPr>
          <w:p w:rsidR="007A0795" w:rsidRPr="00621BF1" w:rsidRDefault="007A0795" w:rsidP="007A0795">
            <w:pPr>
              <w:spacing w:after="120"/>
              <w:jc w:val="center"/>
              <w:rPr>
                <w:rFonts w:cs="Arial"/>
                <w:sz w:val="20"/>
                <w:szCs w:val="20"/>
              </w:rPr>
            </w:pPr>
            <w:r w:rsidRPr="00621BF1">
              <w:rPr>
                <w:rFonts w:cs="Arial"/>
                <w:sz w:val="20"/>
                <w:szCs w:val="20"/>
              </w:rPr>
              <w:t>24</w:t>
            </w:r>
          </w:p>
        </w:tc>
        <w:tc>
          <w:tcPr>
            <w:tcW w:w="2340" w:type="dxa"/>
            <w:vAlign w:val="center"/>
          </w:tcPr>
          <w:p w:rsidR="007A0795" w:rsidRPr="00621BF1" w:rsidRDefault="007A0795" w:rsidP="007A0795">
            <w:pPr>
              <w:spacing w:after="120"/>
              <w:rPr>
                <w:rFonts w:cs="Arial"/>
                <w:sz w:val="20"/>
                <w:szCs w:val="20"/>
              </w:rPr>
            </w:pPr>
            <w:r w:rsidRPr="00621BF1">
              <w:rPr>
                <w:rFonts w:cs="Arial"/>
                <w:sz w:val="20"/>
                <w:szCs w:val="20"/>
              </w:rPr>
              <w:t>Dr Sylvestre  TIENBRIEDRAGO</w:t>
            </w:r>
          </w:p>
        </w:tc>
        <w:tc>
          <w:tcPr>
            <w:tcW w:w="2502" w:type="dxa"/>
            <w:vAlign w:val="center"/>
          </w:tcPr>
          <w:p w:rsidR="007A0795" w:rsidRPr="00621BF1" w:rsidRDefault="007A0795" w:rsidP="00FF5AA5">
            <w:pPr>
              <w:spacing w:after="120"/>
              <w:rPr>
                <w:rFonts w:cs="Arial"/>
                <w:sz w:val="20"/>
                <w:szCs w:val="20"/>
              </w:rPr>
            </w:pPr>
            <w:r w:rsidRPr="00621BF1">
              <w:rPr>
                <w:rFonts w:cs="Arial"/>
                <w:sz w:val="20"/>
                <w:szCs w:val="20"/>
              </w:rPr>
              <w:t xml:space="preserve">Conseiller  Technique PEV/RSS/ Unicef </w:t>
            </w:r>
          </w:p>
        </w:tc>
        <w:tc>
          <w:tcPr>
            <w:tcW w:w="2070" w:type="dxa"/>
            <w:vAlign w:val="center"/>
          </w:tcPr>
          <w:p w:rsidR="007A0795" w:rsidRPr="00621BF1" w:rsidRDefault="007A0795" w:rsidP="007A0795">
            <w:pPr>
              <w:spacing w:after="120"/>
              <w:jc w:val="center"/>
              <w:rPr>
                <w:rFonts w:cs="Arial"/>
                <w:sz w:val="20"/>
                <w:szCs w:val="20"/>
              </w:rPr>
            </w:pPr>
            <w:r w:rsidRPr="00621BF1">
              <w:rPr>
                <w:rFonts w:cs="Arial"/>
                <w:sz w:val="20"/>
                <w:szCs w:val="20"/>
              </w:rPr>
              <w:t>625 22 82 42</w:t>
            </w:r>
          </w:p>
        </w:tc>
        <w:tc>
          <w:tcPr>
            <w:tcW w:w="2898" w:type="dxa"/>
            <w:vAlign w:val="center"/>
          </w:tcPr>
          <w:p w:rsidR="007A0795" w:rsidRPr="00621BF1" w:rsidRDefault="007A0795" w:rsidP="007A0795">
            <w:pPr>
              <w:spacing w:after="120"/>
              <w:jc w:val="center"/>
              <w:rPr>
                <w:rFonts w:cs="Arial"/>
                <w:sz w:val="20"/>
                <w:szCs w:val="20"/>
              </w:rPr>
            </w:pPr>
            <w:r w:rsidRPr="00621BF1">
              <w:rPr>
                <w:rFonts w:cs="Arial"/>
                <w:sz w:val="20"/>
                <w:szCs w:val="20"/>
              </w:rPr>
              <w:t>sytiendrebeogo@unicef.org</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25</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Dr </w:t>
            </w:r>
            <w:proofErr w:type="spellStart"/>
            <w:r w:rsidRPr="00621BF1">
              <w:rPr>
                <w:rFonts w:cs="Arial"/>
                <w:sz w:val="20"/>
                <w:szCs w:val="20"/>
              </w:rPr>
              <w:t>Luzitu</w:t>
            </w:r>
            <w:proofErr w:type="spellEnd"/>
            <w:r w:rsidRPr="00621BF1">
              <w:rPr>
                <w:rFonts w:cs="Arial"/>
                <w:sz w:val="20"/>
                <w:szCs w:val="20"/>
              </w:rPr>
              <w:t xml:space="preserve"> SIMAO</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FBMG/ Consultant</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625 48 06 16</w:t>
            </w:r>
          </w:p>
        </w:tc>
        <w:tc>
          <w:tcPr>
            <w:tcW w:w="2898" w:type="dxa"/>
            <w:vAlign w:val="center"/>
          </w:tcPr>
          <w:p w:rsidR="00431B9D" w:rsidRPr="00621BF1" w:rsidRDefault="00813A59" w:rsidP="00ED0C53">
            <w:pPr>
              <w:spacing w:after="120"/>
              <w:jc w:val="center"/>
              <w:rPr>
                <w:rFonts w:cs="Arial"/>
                <w:sz w:val="20"/>
                <w:szCs w:val="20"/>
              </w:rPr>
            </w:pPr>
            <w:hyperlink r:id="rId41" w:history="1">
              <w:r w:rsidR="00B3527A" w:rsidRPr="00F31B66">
                <w:rPr>
                  <w:rStyle w:val="Lienhypertexte"/>
                  <w:rFonts w:cs="Arial"/>
                  <w:sz w:val="20"/>
                  <w:szCs w:val="20"/>
                </w:rPr>
                <w:t>luzitu@yahoo.com</w:t>
              </w:r>
            </w:hyperlink>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26</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Dr LENO </w:t>
            </w:r>
            <w:proofErr w:type="spellStart"/>
            <w:r w:rsidRPr="00621BF1">
              <w:rPr>
                <w:rFonts w:cs="Arial"/>
                <w:sz w:val="20"/>
                <w:szCs w:val="20"/>
              </w:rPr>
              <w:t>Niouma</w:t>
            </w:r>
            <w:proofErr w:type="spellEnd"/>
            <w:r w:rsidRPr="00621BF1">
              <w:rPr>
                <w:rFonts w:cs="Arial"/>
                <w:sz w:val="20"/>
                <w:szCs w:val="20"/>
              </w:rPr>
              <w:t xml:space="preserve">  Nestor</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Unicef</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622 53 12 91</w:t>
            </w:r>
          </w:p>
        </w:tc>
        <w:tc>
          <w:tcPr>
            <w:tcW w:w="2898" w:type="dxa"/>
            <w:vAlign w:val="center"/>
          </w:tcPr>
          <w:p w:rsidR="00431B9D" w:rsidRPr="00621BF1" w:rsidRDefault="00813A59" w:rsidP="00ED0C53">
            <w:pPr>
              <w:spacing w:after="120"/>
              <w:jc w:val="center"/>
              <w:rPr>
                <w:rFonts w:cs="Arial"/>
                <w:sz w:val="20"/>
                <w:szCs w:val="20"/>
              </w:rPr>
            </w:pPr>
            <w:hyperlink r:id="rId42" w:history="1">
              <w:r w:rsidR="00B3527A" w:rsidRPr="00F31B66">
                <w:rPr>
                  <w:rStyle w:val="Lienhypertexte"/>
                  <w:rFonts w:cs="Arial"/>
                  <w:sz w:val="20"/>
                  <w:szCs w:val="20"/>
                </w:rPr>
                <w:t>nnleno@unicef.org</w:t>
              </w:r>
            </w:hyperlink>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27</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MBRIHINGAM JECONIAS</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Unicef</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621 08 88 26</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jmbahimgam@unicf.org</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28</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Fatoumata </w:t>
            </w:r>
            <w:proofErr w:type="spellStart"/>
            <w:r w:rsidRPr="00621BF1">
              <w:rPr>
                <w:rFonts w:cs="Arial"/>
                <w:sz w:val="20"/>
                <w:szCs w:val="20"/>
              </w:rPr>
              <w:t>Diaraye</w:t>
            </w:r>
            <w:proofErr w:type="spellEnd"/>
            <w:r w:rsidRPr="00621BF1">
              <w:rPr>
                <w:rFonts w:cs="Arial"/>
                <w:sz w:val="20"/>
                <w:szCs w:val="20"/>
              </w:rPr>
              <w:t xml:space="preserve"> DIALLO</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Unicef</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624 61 80 73</w:t>
            </w:r>
          </w:p>
        </w:tc>
        <w:tc>
          <w:tcPr>
            <w:tcW w:w="2898" w:type="dxa"/>
            <w:vAlign w:val="center"/>
          </w:tcPr>
          <w:p w:rsidR="00431B9D" w:rsidRPr="00621BF1" w:rsidRDefault="00431B9D" w:rsidP="00ED0C53">
            <w:pPr>
              <w:spacing w:after="120"/>
              <w:jc w:val="center"/>
              <w:rPr>
                <w:rFonts w:cs="Arial"/>
                <w:sz w:val="20"/>
                <w:szCs w:val="20"/>
              </w:rPr>
            </w:pPr>
            <w:proofErr w:type="spellStart"/>
            <w:r w:rsidRPr="00621BF1">
              <w:rPr>
                <w:rFonts w:cs="Arial"/>
                <w:sz w:val="20"/>
                <w:szCs w:val="20"/>
              </w:rPr>
              <w:t>fddiallo</w:t>
            </w:r>
            <w:proofErr w:type="spellEnd"/>
            <w:r w:rsidRPr="00621BF1">
              <w:rPr>
                <w:rFonts w:cs="Arial"/>
                <w:sz w:val="20"/>
                <w:szCs w:val="20"/>
              </w:rPr>
              <w:t xml:space="preserve"> @unicel.org</w:t>
            </w:r>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29</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Irma ALOFA</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Unicef</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628 32 62 83</w:t>
            </w:r>
          </w:p>
        </w:tc>
        <w:tc>
          <w:tcPr>
            <w:tcW w:w="2898" w:type="dxa"/>
            <w:vAlign w:val="center"/>
          </w:tcPr>
          <w:p w:rsidR="00431B9D" w:rsidRPr="00621BF1" w:rsidRDefault="00813A59" w:rsidP="00ED0C53">
            <w:pPr>
              <w:spacing w:after="120"/>
              <w:jc w:val="center"/>
              <w:rPr>
                <w:rFonts w:cs="Arial"/>
                <w:sz w:val="20"/>
                <w:szCs w:val="20"/>
              </w:rPr>
            </w:pPr>
            <w:hyperlink r:id="rId43" w:history="1">
              <w:r w:rsidR="00B3527A" w:rsidRPr="00F31B66">
                <w:rPr>
                  <w:rStyle w:val="Lienhypertexte"/>
                  <w:rFonts w:cs="Arial"/>
                  <w:sz w:val="20"/>
                  <w:szCs w:val="20"/>
                </w:rPr>
                <w:t>ialofa@unicef.org</w:t>
              </w:r>
            </w:hyperlink>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30</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Dr  Véronique KEITA SARR </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Unicef</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628 86 20 69</w:t>
            </w:r>
          </w:p>
        </w:tc>
        <w:tc>
          <w:tcPr>
            <w:tcW w:w="2898" w:type="dxa"/>
            <w:vAlign w:val="center"/>
          </w:tcPr>
          <w:p w:rsidR="00431B9D" w:rsidRPr="00621BF1" w:rsidRDefault="00813A59" w:rsidP="00ED0C53">
            <w:pPr>
              <w:spacing w:after="120"/>
              <w:jc w:val="center"/>
              <w:rPr>
                <w:rFonts w:cs="Arial"/>
                <w:sz w:val="20"/>
                <w:szCs w:val="20"/>
              </w:rPr>
            </w:pPr>
            <w:hyperlink r:id="rId44" w:history="1">
              <w:r w:rsidR="00B3527A" w:rsidRPr="00F31B66">
                <w:rPr>
                  <w:rStyle w:val="Lienhypertexte"/>
                  <w:rFonts w:cs="Arial"/>
                  <w:sz w:val="20"/>
                  <w:szCs w:val="20"/>
                </w:rPr>
                <w:t>vsarr@unicef.org</w:t>
              </w:r>
            </w:hyperlink>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31</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 xml:space="preserve">Dr </w:t>
            </w:r>
            <w:proofErr w:type="spellStart"/>
            <w:r w:rsidRPr="00621BF1">
              <w:rPr>
                <w:rFonts w:cs="Arial"/>
                <w:sz w:val="20"/>
                <w:szCs w:val="20"/>
              </w:rPr>
              <w:t>Mouctar</w:t>
            </w:r>
            <w:proofErr w:type="spellEnd"/>
            <w:r w:rsidRPr="00621BF1">
              <w:rPr>
                <w:rFonts w:cs="Arial"/>
                <w:sz w:val="20"/>
                <w:szCs w:val="20"/>
              </w:rPr>
              <w:t xml:space="preserve"> KANDE</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OMS</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622 57 10 81</w:t>
            </w:r>
          </w:p>
        </w:tc>
        <w:tc>
          <w:tcPr>
            <w:tcW w:w="2898" w:type="dxa"/>
            <w:vAlign w:val="center"/>
          </w:tcPr>
          <w:p w:rsidR="00431B9D" w:rsidRPr="00621BF1" w:rsidRDefault="00813A59" w:rsidP="00ED0C53">
            <w:pPr>
              <w:spacing w:after="120"/>
              <w:jc w:val="center"/>
              <w:rPr>
                <w:rFonts w:cs="Arial"/>
                <w:sz w:val="20"/>
                <w:szCs w:val="20"/>
              </w:rPr>
            </w:pPr>
            <w:hyperlink r:id="rId45" w:history="1">
              <w:r w:rsidR="00B3527A" w:rsidRPr="00F31B66">
                <w:rPr>
                  <w:rStyle w:val="Lienhypertexte"/>
                  <w:rFonts w:cs="Arial"/>
                  <w:sz w:val="20"/>
                  <w:szCs w:val="20"/>
                </w:rPr>
                <w:t>kandem@who.int</w:t>
              </w:r>
            </w:hyperlink>
          </w:p>
        </w:tc>
      </w:tr>
      <w:tr w:rsidR="00431B9D" w:rsidRPr="00621BF1" w:rsidTr="00ED0C53">
        <w:trPr>
          <w:trHeight w:val="510"/>
        </w:trPr>
        <w:tc>
          <w:tcPr>
            <w:tcW w:w="450" w:type="dxa"/>
            <w:vAlign w:val="center"/>
          </w:tcPr>
          <w:p w:rsidR="00431B9D" w:rsidRPr="00621BF1" w:rsidRDefault="00431B9D" w:rsidP="00ED0C53">
            <w:pPr>
              <w:spacing w:after="120"/>
              <w:jc w:val="center"/>
              <w:rPr>
                <w:rFonts w:cs="Arial"/>
                <w:sz w:val="20"/>
                <w:szCs w:val="20"/>
              </w:rPr>
            </w:pPr>
            <w:r w:rsidRPr="00621BF1">
              <w:rPr>
                <w:rFonts w:cs="Arial"/>
                <w:sz w:val="20"/>
                <w:szCs w:val="20"/>
              </w:rPr>
              <w:t>32</w:t>
            </w:r>
          </w:p>
        </w:tc>
        <w:tc>
          <w:tcPr>
            <w:tcW w:w="2340" w:type="dxa"/>
            <w:vAlign w:val="center"/>
          </w:tcPr>
          <w:p w:rsidR="00431B9D" w:rsidRPr="00621BF1" w:rsidRDefault="00431B9D" w:rsidP="00ED0C53">
            <w:pPr>
              <w:spacing w:after="120"/>
              <w:rPr>
                <w:rFonts w:cs="Arial"/>
                <w:sz w:val="20"/>
                <w:szCs w:val="20"/>
              </w:rPr>
            </w:pPr>
            <w:r w:rsidRPr="00621BF1">
              <w:rPr>
                <w:rFonts w:cs="Arial"/>
                <w:sz w:val="20"/>
                <w:szCs w:val="20"/>
              </w:rPr>
              <w:t>Mr Amara DRAME</w:t>
            </w:r>
          </w:p>
        </w:tc>
        <w:tc>
          <w:tcPr>
            <w:tcW w:w="2502" w:type="dxa"/>
            <w:vAlign w:val="center"/>
          </w:tcPr>
          <w:p w:rsidR="00431B9D" w:rsidRPr="00621BF1" w:rsidRDefault="00431B9D" w:rsidP="00ED0C53">
            <w:pPr>
              <w:spacing w:after="120"/>
              <w:jc w:val="center"/>
              <w:rPr>
                <w:rFonts w:cs="Arial"/>
                <w:sz w:val="20"/>
                <w:szCs w:val="20"/>
              </w:rPr>
            </w:pPr>
            <w:r w:rsidRPr="00621BF1">
              <w:rPr>
                <w:rFonts w:cs="Arial"/>
                <w:sz w:val="20"/>
                <w:szCs w:val="20"/>
              </w:rPr>
              <w:t>Consultant</w:t>
            </w:r>
            <w:r w:rsidR="00B22D32" w:rsidRPr="00621BF1">
              <w:rPr>
                <w:rFonts w:cs="Arial"/>
                <w:sz w:val="20"/>
                <w:szCs w:val="20"/>
              </w:rPr>
              <w:t xml:space="preserve"> ‘</w:t>
            </w:r>
            <w:proofErr w:type="spellStart"/>
            <w:r w:rsidR="00B22D32" w:rsidRPr="00621BF1">
              <w:rPr>
                <w:rFonts w:cs="Arial"/>
                <w:sz w:val="20"/>
                <w:szCs w:val="20"/>
              </w:rPr>
              <w:t>Costing</w:t>
            </w:r>
            <w:proofErr w:type="spellEnd"/>
            <w:r w:rsidR="00B22D32" w:rsidRPr="00621BF1">
              <w:rPr>
                <w:rFonts w:cs="Arial"/>
                <w:sz w:val="20"/>
                <w:szCs w:val="20"/>
              </w:rPr>
              <w:t>’</w:t>
            </w:r>
          </w:p>
        </w:tc>
        <w:tc>
          <w:tcPr>
            <w:tcW w:w="2070" w:type="dxa"/>
            <w:vAlign w:val="center"/>
          </w:tcPr>
          <w:p w:rsidR="00431B9D" w:rsidRPr="00621BF1" w:rsidRDefault="00431B9D" w:rsidP="00ED0C53">
            <w:pPr>
              <w:spacing w:after="120"/>
              <w:jc w:val="center"/>
              <w:rPr>
                <w:rFonts w:cs="Arial"/>
                <w:sz w:val="20"/>
                <w:szCs w:val="20"/>
              </w:rPr>
            </w:pPr>
            <w:r w:rsidRPr="00621BF1">
              <w:rPr>
                <w:rFonts w:cs="Arial"/>
                <w:sz w:val="20"/>
                <w:szCs w:val="20"/>
              </w:rPr>
              <w:t>622 57 10 91</w:t>
            </w:r>
          </w:p>
        </w:tc>
        <w:tc>
          <w:tcPr>
            <w:tcW w:w="2898" w:type="dxa"/>
            <w:vAlign w:val="center"/>
          </w:tcPr>
          <w:p w:rsidR="00431B9D" w:rsidRPr="00621BF1" w:rsidRDefault="00431B9D" w:rsidP="00ED0C53">
            <w:pPr>
              <w:spacing w:after="120"/>
              <w:jc w:val="center"/>
              <w:rPr>
                <w:rFonts w:cs="Arial"/>
                <w:sz w:val="20"/>
                <w:szCs w:val="20"/>
              </w:rPr>
            </w:pPr>
            <w:r w:rsidRPr="00621BF1">
              <w:rPr>
                <w:rFonts w:cs="Arial"/>
                <w:sz w:val="20"/>
                <w:szCs w:val="20"/>
              </w:rPr>
              <w:t>amaradrame2002@yahoo.com</w:t>
            </w:r>
          </w:p>
        </w:tc>
      </w:tr>
    </w:tbl>
    <w:p w:rsidR="00431B9D" w:rsidRPr="00621BF1" w:rsidRDefault="00431B9D" w:rsidP="00431B9D">
      <w:pPr>
        <w:autoSpaceDE w:val="0"/>
        <w:autoSpaceDN w:val="0"/>
        <w:adjustRightInd w:val="0"/>
        <w:spacing w:after="120"/>
        <w:jc w:val="both"/>
        <w:rPr>
          <w:rFonts w:cs="Arial"/>
          <w:b/>
        </w:rPr>
      </w:pPr>
    </w:p>
    <w:p w:rsidR="00431B9D" w:rsidRPr="00621BF1" w:rsidRDefault="00431B9D" w:rsidP="00431B9D">
      <w:pPr>
        <w:rPr>
          <w:rFonts w:cs="Arial"/>
        </w:rPr>
      </w:pPr>
    </w:p>
    <w:p w:rsidR="00431B9D" w:rsidRPr="00621BF1" w:rsidRDefault="00431B9D" w:rsidP="00431B9D">
      <w:pPr>
        <w:rPr>
          <w:rFonts w:cs="Arial"/>
        </w:rPr>
      </w:pPr>
    </w:p>
    <w:p w:rsidR="00E60294" w:rsidRPr="00621BF1" w:rsidRDefault="00E60294" w:rsidP="00E60294">
      <w:pPr>
        <w:tabs>
          <w:tab w:val="left" w:pos="3060"/>
        </w:tabs>
        <w:jc w:val="center"/>
        <w:rPr>
          <w:rFonts w:cs="Times New Roman"/>
          <w:b/>
          <w:sz w:val="24"/>
        </w:rPr>
      </w:pPr>
    </w:p>
    <w:p w:rsidR="00A9697C" w:rsidRPr="00621BF1" w:rsidRDefault="00A9697C"/>
    <w:sectPr w:rsidR="00A9697C" w:rsidRPr="00621BF1" w:rsidSect="0018344F">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712" w:rsidRDefault="00455712" w:rsidP="00E60294">
      <w:pPr>
        <w:spacing w:after="0" w:line="240" w:lineRule="auto"/>
      </w:pPr>
      <w:r>
        <w:separator/>
      </w:r>
    </w:p>
  </w:endnote>
  <w:endnote w:type="continuationSeparator" w:id="0">
    <w:p w:rsidR="00455712" w:rsidRDefault="00455712" w:rsidP="00E60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NewBskvll BT">
    <w:altName w:val="Times New Roman"/>
    <w:panose1 w:val="00000000000000000000"/>
    <w:charset w:val="00"/>
    <w:family w:val="roman"/>
    <w:notTrueType/>
    <w:pitch w:val="variable"/>
    <w:sig w:usb0="00000003" w:usb1="00000000" w:usb2="00000000" w:usb3="00000000" w:csb0="00000001" w:csb1="00000000"/>
  </w:font>
  <w:font w:name="Goudy">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Andalus">
    <w:panose1 w:val="02020603050405020304"/>
    <w:charset w:val="00"/>
    <w:family w:val="roman"/>
    <w:pitch w:val="variable"/>
    <w:sig w:usb0="00002003" w:usb1="80000000" w:usb2="00000008" w:usb3="00000000" w:csb0="00000041"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59" w:rsidRDefault="00813A59" w:rsidP="00641735">
    <w:pPr>
      <w:pStyle w:val="Pieddepage"/>
      <w:jc w:val="right"/>
    </w:pPr>
    <w:r w:rsidRPr="00641735">
      <w:rPr>
        <w:rFonts w:ascii="Arial" w:hAnsi="Arial" w:cs="Arial"/>
        <w:i/>
        <w:sz w:val="20"/>
        <w:szCs w:val="20"/>
      </w:rPr>
      <w:t>Politique Nationale de Santé</w:t>
    </w:r>
    <w:r>
      <w:rPr>
        <w:rFonts w:ascii="Arial" w:hAnsi="Arial" w:cs="Arial"/>
        <w:i/>
        <w:sz w:val="20"/>
        <w:szCs w:val="20"/>
      </w:rPr>
      <w:t xml:space="preserve"> </w:t>
    </w:r>
    <w:r w:rsidRPr="00641735">
      <w:rPr>
        <w:rFonts w:ascii="Arial" w:hAnsi="Arial" w:cs="Arial"/>
        <w:i/>
        <w:sz w:val="20"/>
        <w:szCs w:val="20"/>
      </w:rPr>
      <w:t>- Conakry – novembre 2014</w:t>
    </w:r>
    <w:r>
      <w:t xml:space="preserve">                                                  </w:t>
    </w:r>
    <w:sdt>
      <w:sdtPr>
        <w:id w:val="999164338"/>
        <w:docPartObj>
          <w:docPartGallery w:val="Page Numbers (Bottom of Page)"/>
          <w:docPartUnique/>
        </w:docPartObj>
      </w:sdtPr>
      <w:sdtContent>
        <w:sdt>
          <w:sdtPr>
            <w:id w:val="98381352"/>
            <w:docPartObj>
              <w:docPartGallery w:val="Page Numbers (Top of Page)"/>
              <w:docPartUnique/>
            </w:docPartObj>
          </w:sdtPr>
          <w:sdtContent>
            <w:r>
              <w:t xml:space="preserve">Page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113</w:t>
            </w:r>
            <w:r>
              <w:rPr>
                <w:b/>
                <w:bCs/>
                <w:sz w:val="24"/>
                <w:szCs w:val="24"/>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59" w:rsidRDefault="00813A59" w:rsidP="002A5AFB">
    <w:pPr>
      <w:pStyle w:val="Pieddepage"/>
      <w:ind w:hanging="6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834472"/>
      <w:docPartObj>
        <w:docPartGallery w:val="Page Numbers (Bottom of Page)"/>
        <w:docPartUnique/>
      </w:docPartObj>
    </w:sdtPr>
    <w:sdtEndPr>
      <w:rPr>
        <w:b/>
        <w:noProof/>
        <w:color w:val="FFFFFF" w:themeColor="background1"/>
      </w:rPr>
    </w:sdtEndPr>
    <w:sdtContent>
      <w:p w:rsidR="00813A59" w:rsidRPr="00334291" w:rsidRDefault="00813A59">
        <w:pPr>
          <w:pStyle w:val="Pieddepage"/>
          <w:jc w:val="center"/>
          <w:rPr>
            <w:b/>
            <w:color w:val="FFFFFF" w:themeColor="background1"/>
          </w:rPr>
        </w:pPr>
        <w:r>
          <w:rPr>
            <w:b/>
            <w:noProof/>
            <w:color w:val="FFFFFF" w:themeColor="background1"/>
          </w:rPr>
          <mc:AlternateContent>
            <mc:Choice Requires="wps">
              <w:drawing>
                <wp:anchor distT="0" distB="0" distL="114300" distR="114300" simplePos="0" relativeHeight="251659264" behindDoc="1" locked="0" layoutInCell="1" allowOverlap="1">
                  <wp:simplePos x="0" y="0"/>
                  <wp:positionH relativeFrom="column">
                    <wp:posOffset>3038475</wp:posOffset>
                  </wp:positionH>
                  <wp:positionV relativeFrom="paragraph">
                    <wp:posOffset>28575</wp:posOffset>
                  </wp:positionV>
                  <wp:extent cx="352425" cy="304800"/>
                  <wp:effectExtent l="0" t="0" r="9525" b="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048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5BCE50D5" id="Oval 2" o:spid="_x0000_s1026" style="position:absolute;margin-left:239.25pt;margin-top:2.25pt;width:27.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" fillcolor="#00b0f0" stroked="f" strokeweight="1pt">
                  <v:stroke joinstyle="miter"/>
                  <v:path arrowok="t"/>
                </v:oval>
              </w:pict>
            </mc:Fallback>
          </mc:AlternateContent>
        </w:r>
        <w:r w:rsidRPr="00334291">
          <w:rPr>
            <w:b/>
            <w:color w:val="FFFFFF" w:themeColor="background1"/>
          </w:rPr>
          <w:fldChar w:fldCharType="begin"/>
        </w:r>
        <w:r w:rsidRPr="00334291">
          <w:rPr>
            <w:b/>
            <w:color w:val="FFFFFF" w:themeColor="background1"/>
          </w:rPr>
          <w:instrText xml:space="preserve"> PAGE   \* MERGEFORMAT </w:instrText>
        </w:r>
        <w:r w:rsidRPr="00334291">
          <w:rPr>
            <w:b/>
            <w:color w:val="FFFFFF" w:themeColor="background1"/>
          </w:rPr>
          <w:fldChar w:fldCharType="separate"/>
        </w:r>
        <w:r w:rsidR="008B2421">
          <w:rPr>
            <w:b/>
            <w:noProof/>
            <w:color w:val="FFFFFF" w:themeColor="background1"/>
          </w:rPr>
          <w:t>47</w:t>
        </w:r>
        <w:r w:rsidRPr="00334291">
          <w:rPr>
            <w:b/>
            <w:noProof/>
            <w:color w:val="FFFFFF" w:themeColor="background1"/>
          </w:rPr>
          <w:fldChar w:fldCharType="end"/>
        </w:r>
      </w:p>
    </w:sdtContent>
  </w:sdt>
  <w:p w:rsidR="00813A59" w:rsidRPr="002A5AFB" w:rsidRDefault="00813A59" w:rsidP="002A5AF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009869"/>
      <w:docPartObj>
        <w:docPartGallery w:val="Page Numbers (Bottom of Page)"/>
        <w:docPartUnique/>
      </w:docPartObj>
    </w:sdtPr>
    <w:sdtEndPr>
      <w:rPr>
        <w:b/>
        <w:noProof/>
        <w:color w:val="FFFFFF" w:themeColor="background1"/>
      </w:rPr>
    </w:sdtEndPr>
    <w:sdtContent>
      <w:p w:rsidR="00813A59" w:rsidRPr="008C1013" w:rsidRDefault="00813A59">
        <w:pPr>
          <w:pStyle w:val="Pieddepage"/>
          <w:jc w:val="center"/>
          <w:rPr>
            <w:b/>
            <w:color w:val="FFFFFF" w:themeColor="background1"/>
          </w:rPr>
        </w:pPr>
        <w:r>
          <w:rPr>
            <w:b/>
            <w:noProof/>
            <w:color w:val="FFFFFF" w:themeColor="background1"/>
          </w:rPr>
          <mc:AlternateContent>
            <mc:Choice Requires="wps">
              <w:drawing>
                <wp:anchor distT="0" distB="0" distL="114300" distR="114300" simplePos="0" relativeHeight="251661312" behindDoc="1" locked="0" layoutInCell="1" allowOverlap="1">
                  <wp:simplePos x="0" y="0"/>
                  <wp:positionH relativeFrom="margin">
                    <wp:posOffset>4162425</wp:posOffset>
                  </wp:positionH>
                  <wp:positionV relativeFrom="paragraph">
                    <wp:posOffset>38100</wp:posOffset>
                  </wp:positionV>
                  <wp:extent cx="352425" cy="304800"/>
                  <wp:effectExtent l="0" t="0" r="9525" b="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048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09090E27" id="Oval 21" o:spid="_x0000_s1026" style="position:absolute;margin-left:327.75pt;margin-top:3pt;width:27.75pt;height:2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" fillcolor="#00b0f0" stroked="f" strokeweight="1pt">
                  <v:stroke joinstyle="miter"/>
                  <v:path arrowok="t"/>
                  <w10:wrap anchorx="margin"/>
                </v:oval>
              </w:pict>
            </mc:Fallback>
          </mc:AlternateContent>
        </w:r>
        <w:r w:rsidRPr="008C1013">
          <w:rPr>
            <w:b/>
            <w:color w:val="FFFFFF" w:themeColor="background1"/>
          </w:rPr>
          <w:fldChar w:fldCharType="begin"/>
        </w:r>
        <w:r w:rsidRPr="008C1013">
          <w:rPr>
            <w:b/>
            <w:color w:val="FFFFFF" w:themeColor="background1"/>
          </w:rPr>
          <w:instrText xml:space="preserve"> PAGE   \* MERGEFORMAT </w:instrText>
        </w:r>
        <w:r w:rsidRPr="008C1013">
          <w:rPr>
            <w:b/>
            <w:color w:val="FFFFFF" w:themeColor="background1"/>
          </w:rPr>
          <w:fldChar w:fldCharType="separate"/>
        </w:r>
        <w:r w:rsidR="008B2421">
          <w:rPr>
            <w:b/>
            <w:noProof/>
            <w:color w:val="FFFFFF" w:themeColor="background1"/>
          </w:rPr>
          <w:t>56</w:t>
        </w:r>
        <w:r w:rsidRPr="008C1013">
          <w:rPr>
            <w:b/>
            <w:noProof/>
            <w:color w:val="FFFFFF" w:themeColor="background1"/>
          </w:rPr>
          <w:fldChar w:fldCharType="end"/>
        </w:r>
      </w:p>
    </w:sdtContent>
  </w:sdt>
  <w:p w:rsidR="00813A59" w:rsidRDefault="00813A5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59" w:rsidRPr="008C1013" w:rsidRDefault="00813A59">
    <w:pPr>
      <w:pStyle w:val="Pieddepage"/>
      <w:jc w:val="center"/>
      <w:rPr>
        <w:b/>
        <w:color w:val="FFFFFF" w:themeColor="background1"/>
      </w:rPr>
    </w:pPr>
    <w:r>
      <w:rPr>
        <w:b/>
        <w:noProof/>
        <w:color w:val="FFFFFF" w:themeColor="background1"/>
      </w:rPr>
      <mc:AlternateContent>
        <mc:Choice Requires="wps">
          <w:drawing>
            <wp:anchor distT="0" distB="0" distL="114300" distR="114300" simplePos="0" relativeHeight="251663360" behindDoc="1" locked="0" layoutInCell="1" allowOverlap="1">
              <wp:simplePos x="0" y="0"/>
              <wp:positionH relativeFrom="margin">
                <wp:align>center</wp:align>
              </wp:positionH>
              <wp:positionV relativeFrom="paragraph">
                <wp:posOffset>-1270</wp:posOffset>
              </wp:positionV>
              <wp:extent cx="352425" cy="304800"/>
              <wp:effectExtent l="0" t="0" r="9525"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048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389521D8" id="Oval 22" o:spid="_x0000_s1026" style="position:absolute;margin-left:0;margin-top:-.1pt;width:27.75pt;height:24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" fillcolor="#00b0f0" stroked="f" strokeweight="1pt">
              <v:stroke joinstyle="miter"/>
              <v:path arrowok="t"/>
              <w10:wrap anchorx="margin"/>
            </v:oval>
          </w:pict>
        </mc:Fallback>
      </mc:AlternateContent>
    </w:r>
    <w:sdt>
      <w:sdtPr>
        <w:id w:val="481051107"/>
        <w:docPartObj>
          <w:docPartGallery w:val="Page Numbers (Bottom of Page)"/>
          <w:docPartUnique/>
        </w:docPartObj>
      </w:sdtPr>
      <w:sdtEndPr>
        <w:rPr>
          <w:b/>
          <w:noProof/>
          <w:color w:val="FFFFFF" w:themeColor="background1"/>
        </w:rPr>
      </w:sdtEndPr>
      <w:sdtContent>
        <w:r w:rsidRPr="008C1013">
          <w:rPr>
            <w:b/>
            <w:color w:val="FFFFFF" w:themeColor="background1"/>
          </w:rPr>
          <w:fldChar w:fldCharType="begin"/>
        </w:r>
        <w:r w:rsidRPr="008C1013">
          <w:rPr>
            <w:b/>
            <w:color w:val="FFFFFF" w:themeColor="background1"/>
          </w:rPr>
          <w:instrText xml:space="preserve"> PAGE   \* MERGEFORMAT </w:instrText>
        </w:r>
        <w:r w:rsidRPr="008C1013">
          <w:rPr>
            <w:b/>
            <w:color w:val="FFFFFF" w:themeColor="background1"/>
          </w:rPr>
          <w:fldChar w:fldCharType="separate"/>
        </w:r>
        <w:r w:rsidR="008B2421">
          <w:rPr>
            <w:b/>
            <w:noProof/>
            <w:color w:val="FFFFFF" w:themeColor="background1"/>
          </w:rPr>
          <w:t>62</w:t>
        </w:r>
        <w:r w:rsidRPr="008C1013">
          <w:rPr>
            <w:b/>
            <w:noProof/>
            <w:color w:val="FFFFFF" w:themeColor="background1"/>
          </w:rPr>
          <w:fldChar w:fldCharType="end"/>
        </w:r>
      </w:sdtContent>
    </w:sdt>
  </w:p>
  <w:p w:rsidR="00813A59" w:rsidRDefault="00813A5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84624"/>
      <w:docPartObj>
        <w:docPartGallery w:val="Page Numbers (Bottom of Page)"/>
        <w:docPartUnique/>
      </w:docPartObj>
    </w:sdtPr>
    <w:sdtEndPr>
      <w:rPr>
        <w:noProof/>
        <w:color w:val="FFFFFF" w:themeColor="background1"/>
      </w:rPr>
    </w:sdtEndPr>
    <w:sdtContent>
      <w:p w:rsidR="00813A59" w:rsidRPr="008C1013" w:rsidRDefault="00813A59">
        <w:pPr>
          <w:pStyle w:val="Pieddepage"/>
          <w:jc w:val="center"/>
          <w:rPr>
            <w:color w:val="FFFFFF" w:themeColor="background1"/>
          </w:rPr>
        </w:pPr>
        <w:r>
          <w:rPr>
            <w:b/>
            <w:noProof/>
            <w:color w:val="FFFFFF" w:themeColor="background1"/>
          </w:rPr>
          <mc:AlternateContent>
            <mc:Choice Requires="wps">
              <w:drawing>
                <wp:anchor distT="0" distB="0" distL="114300" distR="114300" simplePos="0" relativeHeight="251665408" behindDoc="1" locked="0" layoutInCell="1" allowOverlap="1">
                  <wp:simplePos x="0" y="0"/>
                  <wp:positionH relativeFrom="margin">
                    <wp:posOffset>2905125</wp:posOffset>
                  </wp:positionH>
                  <wp:positionV relativeFrom="paragraph">
                    <wp:posOffset>37465</wp:posOffset>
                  </wp:positionV>
                  <wp:extent cx="352425" cy="304800"/>
                  <wp:effectExtent l="0" t="0" r="9525" b="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048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1E9FE19F" id="Oval 23" o:spid="_x0000_s1026" style="position:absolute;margin-left:228.75pt;margin-top:2.95pt;width:27.75pt;height:2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" fillcolor="#00b0f0" stroked="f" strokeweight="1pt">
                  <v:stroke joinstyle="miter"/>
                  <v:path arrowok="t"/>
                  <w10:wrap anchorx="margin"/>
                </v:oval>
              </w:pict>
            </mc:Fallback>
          </mc:AlternateContent>
        </w:r>
        <w:r w:rsidRPr="008C1013">
          <w:rPr>
            <w:color w:val="FFFFFF" w:themeColor="background1"/>
          </w:rPr>
          <w:fldChar w:fldCharType="begin"/>
        </w:r>
        <w:r w:rsidRPr="008C1013">
          <w:rPr>
            <w:color w:val="FFFFFF" w:themeColor="background1"/>
          </w:rPr>
          <w:instrText xml:space="preserve"> PAGE   \* MERGEFORMAT </w:instrText>
        </w:r>
        <w:r w:rsidRPr="008C1013">
          <w:rPr>
            <w:color w:val="FFFFFF" w:themeColor="background1"/>
          </w:rPr>
          <w:fldChar w:fldCharType="separate"/>
        </w:r>
        <w:r>
          <w:rPr>
            <w:noProof/>
            <w:color w:val="FFFFFF" w:themeColor="background1"/>
          </w:rPr>
          <w:t>119</w:t>
        </w:r>
        <w:r w:rsidRPr="008C1013">
          <w:rPr>
            <w:noProof/>
            <w:color w:val="FFFFFF" w:themeColor="background1"/>
          </w:rPr>
          <w:fldChar w:fldCharType="end"/>
        </w:r>
      </w:p>
    </w:sdtContent>
  </w:sdt>
  <w:p w:rsidR="00813A59" w:rsidRDefault="00813A59" w:rsidP="006D625C">
    <w:pPr>
      <w:pStyle w:val="Pieddepage"/>
      <w:tabs>
        <w:tab w:val="clear" w:pos="9360"/>
      </w:tabs>
      <w:jc w:val="center"/>
    </w:pPr>
  </w:p>
  <w:p w:rsidR="00813A59" w:rsidRDefault="00813A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712" w:rsidRDefault="00455712" w:rsidP="00E60294">
      <w:pPr>
        <w:spacing w:after="0" w:line="240" w:lineRule="auto"/>
      </w:pPr>
      <w:r>
        <w:separator/>
      </w:r>
    </w:p>
  </w:footnote>
  <w:footnote w:type="continuationSeparator" w:id="0">
    <w:p w:rsidR="00455712" w:rsidRDefault="00455712" w:rsidP="00E60294">
      <w:pPr>
        <w:spacing w:after="0" w:line="240" w:lineRule="auto"/>
      </w:pPr>
      <w:r>
        <w:continuationSeparator/>
      </w:r>
    </w:p>
  </w:footnote>
  <w:footnote w:id="1">
    <w:p w:rsidR="00813A59" w:rsidRPr="000D347B" w:rsidRDefault="00813A59" w:rsidP="00431B9D">
      <w:pPr>
        <w:pStyle w:val="Notedebasdepage"/>
        <w:rPr>
          <w:rStyle w:val="Appelnotedebasdep"/>
          <w:rFonts w:ascii="Gill Sans MT" w:eastAsiaTheme="minorEastAsia" w:hAnsi="Gill Sans MT"/>
          <w:b/>
          <w:szCs w:val="22"/>
        </w:rPr>
      </w:pPr>
      <w:r w:rsidRPr="000D347B">
        <w:rPr>
          <w:rStyle w:val="Appelnotedebasdep"/>
          <w:rFonts w:ascii="Gill Sans MT" w:eastAsiaTheme="minorEastAsia" w:hAnsi="Gill Sans MT"/>
          <w:b/>
          <w:szCs w:val="22"/>
        </w:rPr>
        <w:footnoteRef/>
      </w:r>
      <w:r w:rsidRPr="000D347B">
        <w:rPr>
          <w:rStyle w:val="Appelnotedebasdep"/>
          <w:rFonts w:ascii="Gill Sans MT" w:eastAsiaTheme="minorEastAsia" w:hAnsi="Gill Sans MT"/>
          <w:b/>
          <w:szCs w:val="22"/>
        </w:rPr>
        <w:t xml:space="preserve"> PNUD, RMDH 2010.</w:t>
      </w:r>
    </w:p>
  </w:footnote>
  <w:footnote w:id="2">
    <w:p w:rsidR="00813A59" w:rsidRPr="00E8745A" w:rsidRDefault="00813A59" w:rsidP="00431B9D">
      <w:pPr>
        <w:pStyle w:val="Notedebasdepage"/>
        <w:rPr>
          <w:rStyle w:val="Appelnotedebasdep"/>
          <w:rFonts w:ascii="Gill Sans MT" w:eastAsiaTheme="minorEastAsia" w:hAnsi="Gill Sans MT"/>
          <w:i/>
          <w:sz w:val="16"/>
          <w:szCs w:val="18"/>
        </w:rPr>
      </w:pPr>
      <w:r w:rsidRPr="00E8745A">
        <w:rPr>
          <w:rStyle w:val="Appelnotedebasdep"/>
          <w:rFonts w:ascii="Gill Sans MT" w:eastAsiaTheme="minorEastAsia" w:hAnsi="Gill Sans MT"/>
          <w:i/>
          <w:sz w:val="16"/>
          <w:szCs w:val="18"/>
        </w:rPr>
        <w:footnoteRef/>
      </w:r>
      <w:r w:rsidRPr="00E8745A">
        <w:rPr>
          <w:rStyle w:val="Appelnotedebasdep"/>
          <w:rFonts w:ascii="Gill Sans MT" w:eastAsiaTheme="minorEastAsia" w:hAnsi="Gill Sans MT"/>
          <w:i/>
          <w:sz w:val="16"/>
          <w:szCs w:val="18"/>
        </w:rPr>
        <w:t xml:space="preserve"> PNUD, Rapport </w:t>
      </w:r>
      <w:proofErr w:type="spellStart"/>
      <w:r w:rsidRPr="00E8745A">
        <w:rPr>
          <w:rStyle w:val="Appelnotedebasdep"/>
          <w:rFonts w:ascii="Gill Sans MT" w:eastAsiaTheme="minorEastAsia" w:hAnsi="Gill Sans MT"/>
          <w:i/>
          <w:sz w:val="16"/>
          <w:szCs w:val="18"/>
        </w:rPr>
        <w:t>Mondial</w:t>
      </w:r>
      <w:proofErr w:type="spellEnd"/>
      <w:r w:rsidRPr="00E8745A">
        <w:rPr>
          <w:rStyle w:val="Appelnotedebasdep"/>
          <w:rFonts w:ascii="Gill Sans MT" w:eastAsiaTheme="minorEastAsia" w:hAnsi="Gill Sans MT"/>
          <w:i/>
          <w:sz w:val="16"/>
          <w:szCs w:val="18"/>
        </w:rPr>
        <w:t xml:space="preserve"> </w:t>
      </w:r>
      <w:proofErr w:type="spellStart"/>
      <w:r w:rsidRPr="00E8745A">
        <w:rPr>
          <w:rStyle w:val="Appelnotedebasdep"/>
          <w:rFonts w:ascii="Gill Sans MT" w:eastAsiaTheme="minorEastAsia" w:hAnsi="Gill Sans MT"/>
          <w:i/>
          <w:sz w:val="16"/>
          <w:szCs w:val="18"/>
        </w:rPr>
        <w:t>sur</w:t>
      </w:r>
      <w:proofErr w:type="spellEnd"/>
      <w:r w:rsidRPr="00E8745A">
        <w:rPr>
          <w:rStyle w:val="Appelnotedebasdep"/>
          <w:rFonts w:ascii="Gill Sans MT" w:eastAsiaTheme="minorEastAsia" w:hAnsi="Gill Sans MT"/>
          <w:i/>
          <w:sz w:val="16"/>
          <w:szCs w:val="18"/>
        </w:rPr>
        <w:t xml:space="preserve"> le </w:t>
      </w:r>
      <w:proofErr w:type="spellStart"/>
      <w:r w:rsidRPr="00E8745A">
        <w:rPr>
          <w:rStyle w:val="Appelnotedebasdep"/>
          <w:rFonts w:ascii="Gill Sans MT" w:eastAsiaTheme="minorEastAsia" w:hAnsi="Gill Sans MT"/>
          <w:i/>
          <w:sz w:val="16"/>
          <w:szCs w:val="18"/>
        </w:rPr>
        <w:t>Développement</w:t>
      </w:r>
      <w:proofErr w:type="spellEnd"/>
      <w:r w:rsidRPr="00E8745A">
        <w:rPr>
          <w:rStyle w:val="Appelnotedebasdep"/>
          <w:rFonts w:ascii="Gill Sans MT" w:eastAsiaTheme="minorEastAsia" w:hAnsi="Gill Sans MT"/>
          <w:i/>
          <w:sz w:val="16"/>
          <w:szCs w:val="18"/>
        </w:rPr>
        <w:t xml:space="preserve"> </w:t>
      </w:r>
      <w:proofErr w:type="spellStart"/>
      <w:r w:rsidRPr="00E8745A">
        <w:rPr>
          <w:rStyle w:val="Appelnotedebasdep"/>
          <w:rFonts w:ascii="Gill Sans MT" w:eastAsiaTheme="minorEastAsia" w:hAnsi="Gill Sans MT"/>
          <w:i/>
          <w:sz w:val="16"/>
          <w:szCs w:val="18"/>
        </w:rPr>
        <w:t>Humain</w:t>
      </w:r>
      <w:proofErr w:type="spellEnd"/>
      <w:r w:rsidRPr="00E8745A">
        <w:rPr>
          <w:rStyle w:val="Appelnotedebasdep"/>
          <w:rFonts w:ascii="Gill Sans MT" w:eastAsiaTheme="minorEastAsia" w:hAnsi="Gill Sans MT"/>
          <w:i/>
          <w:sz w:val="16"/>
          <w:szCs w:val="18"/>
        </w:rPr>
        <w:t>, 2012</w:t>
      </w:r>
    </w:p>
  </w:footnote>
  <w:footnote w:id="3">
    <w:p w:rsidR="00813A59" w:rsidRPr="00D758E1" w:rsidRDefault="00813A59" w:rsidP="004E1721">
      <w:pPr>
        <w:pStyle w:val="Notedebasdepage"/>
        <w:contextualSpacing/>
        <w:rPr>
          <w:rStyle w:val="Appelnotedebasdep"/>
          <w:rFonts w:eastAsiaTheme="minorEastAsia"/>
          <w:i/>
          <w:sz w:val="16"/>
          <w:szCs w:val="16"/>
        </w:rPr>
      </w:pPr>
      <w:r w:rsidRPr="00D758E1">
        <w:rPr>
          <w:rStyle w:val="Appelnotedebasdep"/>
          <w:rFonts w:eastAsiaTheme="minorEastAsia"/>
          <w:i/>
          <w:sz w:val="16"/>
          <w:szCs w:val="16"/>
        </w:rPr>
        <w:footnoteRef/>
      </w:r>
      <w:r w:rsidRPr="00D758E1">
        <w:rPr>
          <w:rStyle w:val="Appelnotedebasdep"/>
          <w:rFonts w:eastAsiaTheme="minorEastAsia"/>
          <w:i/>
          <w:sz w:val="16"/>
          <w:szCs w:val="16"/>
        </w:rPr>
        <w:t xml:space="preserve"> Section </w:t>
      </w:r>
      <w:proofErr w:type="spellStart"/>
      <w:r w:rsidRPr="00D758E1">
        <w:rPr>
          <w:rStyle w:val="Appelnotedebasdep"/>
          <w:rFonts w:eastAsiaTheme="minorEastAsia"/>
          <w:i/>
          <w:sz w:val="16"/>
          <w:szCs w:val="16"/>
        </w:rPr>
        <w:t>Équipement</w:t>
      </w:r>
      <w:proofErr w:type="spellEnd"/>
      <w:r w:rsidRPr="00D758E1">
        <w:rPr>
          <w:rStyle w:val="Appelnotedebasdep"/>
          <w:rFonts w:eastAsiaTheme="minorEastAsia"/>
          <w:i/>
          <w:sz w:val="16"/>
          <w:szCs w:val="16"/>
        </w:rPr>
        <w:t xml:space="preserve"> de la DNEHS 2011</w:t>
      </w:r>
    </w:p>
  </w:footnote>
  <w:footnote w:id="4">
    <w:p w:rsidR="00813A59" w:rsidRPr="00E8745A" w:rsidRDefault="00813A59" w:rsidP="005D2ED1">
      <w:pPr>
        <w:pStyle w:val="Notedebasdepage"/>
        <w:rPr>
          <w:rFonts w:ascii="Gill Sans MT" w:hAnsi="Gill Sans MT"/>
          <w:sz w:val="16"/>
          <w:szCs w:val="16"/>
          <w:lang w:val="en-US"/>
        </w:rPr>
      </w:pPr>
      <w:r w:rsidRPr="00E8745A">
        <w:rPr>
          <w:rStyle w:val="Appelnotedebasdep"/>
          <w:rFonts w:ascii="Gill Sans MT" w:eastAsiaTheme="minorEastAsia" w:hAnsi="Gill Sans MT"/>
          <w:sz w:val="16"/>
          <w:szCs w:val="16"/>
        </w:rPr>
        <w:footnoteRef/>
      </w:r>
      <w:r w:rsidRPr="00E8745A">
        <w:rPr>
          <w:rFonts w:ascii="Gill Sans MT" w:hAnsi="Gill Sans MT"/>
          <w:sz w:val="16"/>
          <w:szCs w:val="16"/>
          <w:lang w:val="en-US"/>
        </w:rPr>
        <w:t>EDS 2012</w:t>
      </w:r>
    </w:p>
  </w:footnote>
  <w:footnote w:id="5">
    <w:p w:rsidR="00813A59" w:rsidRPr="00E8745A" w:rsidRDefault="00813A59" w:rsidP="005D2ED1">
      <w:pPr>
        <w:pStyle w:val="Notedebasdepage"/>
        <w:rPr>
          <w:rStyle w:val="Appelnotedebasdep"/>
          <w:rFonts w:ascii="Gill Sans MT" w:eastAsiaTheme="minorEastAsia" w:hAnsi="Gill Sans MT"/>
          <w:sz w:val="16"/>
          <w:szCs w:val="16"/>
        </w:rPr>
      </w:pPr>
      <w:r w:rsidRPr="00E8745A">
        <w:rPr>
          <w:rStyle w:val="Appelnotedebasdep"/>
          <w:rFonts w:ascii="Gill Sans MT" w:eastAsiaTheme="minorEastAsia" w:hAnsi="Gill Sans MT"/>
          <w:sz w:val="16"/>
          <w:szCs w:val="16"/>
        </w:rPr>
        <w:footnoteRef/>
      </w:r>
      <w:r w:rsidRPr="00E8745A">
        <w:rPr>
          <w:rStyle w:val="Appelnotedebasdep"/>
          <w:rFonts w:ascii="Gill Sans MT" w:eastAsiaTheme="minorEastAsia" w:hAnsi="Gill Sans MT"/>
          <w:sz w:val="16"/>
          <w:szCs w:val="16"/>
        </w:rPr>
        <w:t>EDS 2012</w:t>
      </w:r>
    </w:p>
  </w:footnote>
  <w:footnote w:id="6">
    <w:p w:rsidR="00813A59" w:rsidRPr="00E8745A" w:rsidRDefault="00813A59" w:rsidP="005D2ED1">
      <w:pPr>
        <w:pStyle w:val="Notedebasdepage"/>
        <w:rPr>
          <w:rStyle w:val="Appelnotedebasdep"/>
          <w:rFonts w:ascii="Gill Sans MT" w:eastAsiaTheme="minorEastAsia" w:hAnsi="Gill Sans MT"/>
          <w:sz w:val="16"/>
          <w:szCs w:val="16"/>
        </w:rPr>
      </w:pPr>
      <w:r w:rsidRPr="00E8745A">
        <w:rPr>
          <w:rStyle w:val="Appelnotedebasdep"/>
          <w:rFonts w:ascii="Gill Sans MT" w:eastAsiaTheme="minorEastAsia" w:hAnsi="Gill Sans MT"/>
          <w:sz w:val="16"/>
          <w:szCs w:val="16"/>
        </w:rPr>
        <w:footnoteRef/>
      </w:r>
      <w:r w:rsidRPr="00E8745A">
        <w:rPr>
          <w:rStyle w:val="Appelnotedebasdep"/>
          <w:rFonts w:ascii="Gill Sans MT" w:eastAsiaTheme="minorEastAsia" w:hAnsi="Gill Sans MT"/>
          <w:sz w:val="16"/>
          <w:szCs w:val="16"/>
        </w:rPr>
        <w:t xml:space="preserve"> EDS 2012</w:t>
      </w:r>
    </w:p>
  </w:footnote>
  <w:footnote w:id="7">
    <w:p w:rsidR="00813A59" w:rsidRPr="00871076" w:rsidRDefault="00813A59" w:rsidP="005D2ED1">
      <w:pPr>
        <w:pStyle w:val="Notedebasdepage"/>
      </w:pPr>
      <w:r w:rsidRPr="000E586B">
        <w:rPr>
          <w:rStyle w:val="Appelnotedebasdep"/>
          <w:rFonts w:ascii="Calibri" w:eastAsiaTheme="minorEastAsia" w:hAnsi="Calibri"/>
          <w:i/>
          <w:sz w:val="18"/>
          <w:szCs w:val="18"/>
        </w:rPr>
        <w:footnoteRef/>
      </w:r>
      <w:proofErr w:type="spellStart"/>
      <w:r w:rsidRPr="00FA5FD6">
        <w:rPr>
          <w:rStyle w:val="Appelnotedebasdep"/>
          <w:rFonts w:ascii="Calibri" w:eastAsiaTheme="minorEastAsia" w:hAnsi="Calibri"/>
          <w:i/>
          <w:sz w:val="18"/>
          <w:szCs w:val="18"/>
        </w:rPr>
        <w:t>Confère</w:t>
      </w:r>
      <w:proofErr w:type="spellEnd"/>
      <w:r w:rsidRPr="00FA5FD6">
        <w:rPr>
          <w:rStyle w:val="Appelnotedebasdep"/>
          <w:rFonts w:ascii="Calibri" w:eastAsiaTheme="minorEastAsia" w:hAnsi="Calibri"/>
          <w:i/>
          <w:sz w:val="18"/>
          <w:szCs w:val="18"/>
        </w:rPr>
        <w:t xml:space="preserv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59" w:rsidRPr="00DF4FD8" w:rsidRDefault="00813A59" w:rsidP="00DF4FD8">
    <w:pPr>
      <w:pStyle w:val="En-tte"/>
      <w:pBdr>
        <w:bottom w:val="single" w:sz="4" w:space="1" w:color="auto"/>
      </w:pBdr>
      <w:shd w:val="clear" w:color="auto" w:fill="D5DCE4" w:themeFill="text2" w:themeFillTint="33"/>
      <w:jc w:val="center"/>
    </w:pPr>
    <w:r w:rsidRPr="00DF4FD8">
      <w:rPr>
        <w:rFonts w:eastAsiaTheme="majorEastAsia" w:cstheme="majorBidi"/>
        <w:sz w:val="20"/>
      </w:rPr>
      <w:t>Plan Pluri Annuel Complet 2016-2020_Guinée/PEV/SSP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59" w:rsidRDefault="00813A59">
    <w:pPr>
      <w:pStyle w:val="En-tte"/>
    </w:pPr>
  </w:p>
  <w:p w:rsidR="00813A59" w:rsidRDefault="00813A5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59" w:rsidRDefault="00813A59">
    <w:pPr>
      <w:pStyle w:val="En-tte"/>
    </w:pPr>
  </w:p>
  <w:p w:rsidR="00813A59" w:rsidRDefault="00813A5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59" w:rsidRDefault="00813A5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09D3"/>
    <w:multiLevelType w:val="hybridMultilevel"/>
    <w:tmpl w:val="4DBA66B0"/>
    <w:lvl w:ilvl="0" w:tplc="4DAC2B7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C62523"/>
    <w:multiLevelType w:val="hybridMultilevel"/>
    <w:tmpl w:val="C59ED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538AE"/>
    <w:multiLevelType w:val="hybridMultilevel"/>
    <w:tmpl w:val="72083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23617"/>
    <w:multiLevelType w:val="hybridMultilevel"/>
    <w:tmpl w:val="98046A40"/>
    <w:lvl w:ilvl="0" w:tplc="4DAC2B72">
      <w:start w:val="1"/>
      <w:numFmt w:val="bullet"/>
      <w:lvlText w:val=""/>
      <w:lvlJc w:val="left"/>
      <w:pPr>
        <w:ind w:left="1068" w:hanging="360"/>
      </w:pPr>
      <w:rPr>
        <w:rFonts w:ascii="Wingdings" w:hAnsi="Wingdings" w:hint="default"/>
        <w:color w:val="auto"/>
        <w:sz w:val="20"/>
        <w:szCs w:val="2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092F737A"/>
    <w:multiLevelType w:val="multilevel"/>
    <w:tmpl w:val="CF86C68C"/>
    <w:lvl w:ilvl="0">
      <w:start w:val="5"/>
      <w:numFmt w:val="none"/>
      <w:lvlText w:val="5.5.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5.5.1"/>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5.5.1"/>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5">
    <w:nsid w:val="1339333A"/>
    <w:multiLevelType w:val="hybridMultilevel"/>
    <w:tmpl w:val="D2D82BDE"/>
    <w:lvl w:ilvl="0" w:tplc="4DAC2B7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B94523"/>
    <w:multiLevelType w:val="hybridMultilevel"/>
    <w:tmpl w:val="0C3EF6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8738C7"/>
    <w:multiLevelType w:val="hybridMultilevel"/>
    <w:tmpl w:val="AE4408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87A3BEB"/>
    <w:multiLevelType w:val="hybridMultilevel"/>
    <w:tmpl w:val="CED2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DF4A43"/>
    <w:multiLevelType w:val="hybridMultilevel"/>
    <w:tmpl w:val="8004BB80"/>
    <w:lvl w:ilvl="0" w:tplc="4DAC2B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43BDD"/>
    <w:multiLevelType w:val="hybridMultilevel"/>
    <w:tmpl w:val="9D2AFF62"/>
    <w:lvl w:ilvl="0" w:tplc="04090001">
      <w:start w:val="1"/>
      <w:numFmt w:val="bullet"/>
      <w:lvlText w:val=""/>
      <w:lvlJc w:val="left"/>
      <w:pPr>
        <w:ind w:left="360" w:hanging="360"/>
      </w:pPr>
      <w:rPr>
        <w:rFonts w:ascii="Symbol" w:hAnsi="Symbol" w:hint="default"/>
      </w:rPr>
    </w:lvl>
    <w:lvl w:ilvl="1" w:tplc="4DAC2B72">
      <w:start w:val="1"/>
      <w:numFmt w:val="bullet"/>
      <w:lvlText w:val=""/>
      <w:lvlJc w:val="left"/>
      <w:pPr>
        <w:ind w:left="720" w:hanging="360"/>
      </w:pPr>
      <w:rPr>
        <w:rFonts w:ascii="Wingdings" w:hAnsi="Wingdings"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26092E"/>
    <w:multiLevelType w:val="hybridMultilevel"/>
    <w:tmpl w:val="A39AFB26"/>
    <w:lvl w:ilvl="0" w:tplc="4DAC2B7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EC94832"/>
    <w:multiLevelType w:val="hybridMultilevel"/>
    <w:tmpl w:val="F6885686"/>
    <w:lvl w:ilvl="0" w:tplc="4DAC2B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0E5D70"/>
    <w:multiLevelType w:val="hybridMultilevel"/>
    <w:tmpl w:val="C7D8520A"/>
    <w:lvl w:ilvl="0" w:tplc="4DAC2B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7D3EC2"/>
    <w:multiLevelType w:val="multilevel"/>
    <w:tmpl w:val="0409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nsid w:val="2AF247F3"/>
    <w:multiLevelType w:val="hybridMultilevel"/>
    <w:tmpl w:val="F0F47CDA"/>
    <w:lvl w:ilvl="0" w:tplc="4DAC2B7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C4289A"/>
    <w:multiLevelType w:val="hybridMultilevel"/>
    <w:tmpl w:val="A4142FD2"/>
    <w:lvl w:ilvl="0" w:tplc="4DAC2B72">
      <w:start w:val="1"/>
      <w:numFmt w:val="bullet"/>
      <w:lvlText w:val=""/>
      <w:lvlJc w:val="left"/>
      <w:pPr>
        <w:ind w:left="540" w:hanging="360"/>
      </w:pPr>
      <w:rPr>
        <w:rFonts w:ascii="Wingdings" w:hAnsi="Wingdings" w:hint="default"/>
        <w:color w:val="auto"/>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7">
    <w:nsid w:val="2FC3106A"/>
    <w:multiLevelType w:val="multilevel"/>
    <w:tmpl w:val="04090025"/>
    <w:lvl w:ilvl="0">
      <w:start w:val="1"/>
      <w:numFmt w:val="decimal"/>
      <w:lvlText w:val="%1"/>
      <w:lvlJc w:val="left"/>
      <w:pPr>
        <w:ind w:left="432" w:hanging="432"/>
      </w:pPr>
    </w:lvl>
    <w:lvl w:ilvl="1">
      <w:start w:val="1"/>
      <w:numFmt w:val="decimal"/>
      <w:lvlText w:val="%1.%2"/>
      <w:lvlJc w:val="left"/>
      <w:pPr>
        <w:ind w:left="2466" w:hanging="576"/>
      </w:pPr>
    </w:lvl>
    <w:lvl w:ilvl="2">
      <w:start w:val="1"/>
      <w:numFmt w:val="decimal"/>
      <w:lvlText w:val="%1.%2.%3"/>
      <w:lvlJc w:val="left"/>
      <w:pPr>
        <w:ind w:left="990" w:hanging="720"/>
      </w:pPr>
    </w:lvl>
    <w:lvl w:ilvl="3">
      <w:start w:val="1"/>
      <w:numFmt w:val="decimal"/>
      <w:lvlText w:val="%1.%2.%3.%4"/>
      <w:lvlJc w:val="left"/>
      <w:pPr>
        <w:ind w:left="44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1C51515"/>
    <w:multiLevelType w:val="hybridMultilevel"/>
    <w:tmpl w:val="195AEA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44E63B1"/>
    <w:multiLevelType w:val="hybridMultilevel"/>
    <w:tmpl w:val="B1C6AC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785ACE"/>
    <w:multiLevelType w:val="hybridMultilevel"/>
    <w:tmpl w:val="18CC94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D522397"/>
    <w:multiLevelType w:val="hybridMultilevel"/>
    <w:tmpl w:val="220EF904"/>
    <w:lvl w:ilvl="0" w:tplc="4DAC2B7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E8704C5"/>
    <w:multiLevelType w:val="hybridMultilevel"/>
    <w:tmpl w:val="69FA1472"/>
    <w:lvl w:ilvl="0" w:tplc="D5F2489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2C04C42">
      <w:start w:val="1"/>
      <w:numFmt w:val="bullet"/>
      <w:lvlRestart w:val="0"/>
      <w:lvlText w:val="•"/>
      <w:lvlJc w:val="left"/>
      <w:pPr>
        <w:ind w:left="5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6F63CD8">
      <w:start w:val="1"/>
      <w:numFmt w:val="bullet"/>
      <w:lvlText w:val="▪"/>
      <w:lvlJc w:val="left"/>
      <w:pPr>
        <w:ind w:left="13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F68F650">
      <w:start w:val="1"/>
      <w:numFmt w:val="bullet"/>
      <w:lvlText w:val="•"/>
      <w:lvlJc w:val="left"/>
      <w:pPr>
        <w:ind w:left="20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5FCBAB2">
      <w:start w:val="1"/>
      <w:numFmt w:val="bullet"/>
      <w:lvlText w:val="o"/>
      <w:lvlJc w:val="left"/>
      <w:pPr>
        <w:ind w:left="27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0D41B0A">
      <w:start w:val="1"/>
      <w:numFmt w:val="bullet"/>
      <w:lvlText w:val="▪"/>
      <w:lvlJc w:val="left"/>
      <w:pPr>
        <w:ind w:left="35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AE440AC">
      <w:start w:val="1"/>
      <w:numFmt w:val="bullet"/>
      <w:lvlText w:val="•"/>
      <w:lvlJc w:val="left"/>
      <w:pPr>
        <w:ind w:left="42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D8037B0">
      <w:start w:val="1"/>
      <w:numFmt w:val="bullet"/>
      <w:lvlText w:val="o"/>
      <w:lvlJc w:val="left"/>
      <w:pPr>
        <w:ind w:left="49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BA81B0A">
      <w:start w:val="1"/>
      <w:numFmt w:val="bullet"/>
      <w:lvlText w:val="▪"/>
      <w:lvlJc w:val="left"/>
      <w:pPr>
        <w:ind w:left="566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3">
    <w:nsid w:val="414828CE"/>
    <w:multiLevelType w:val="hybridMultilevel"/>
    <w:tmpl w:val="369447B2"/>
    <w:lvl w:ilvl="0" w:tplc="4DAC2B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9823E7"/>
    <w:multiLevelType w:val="hybridMultilevel"/>
    <w:tmpl w:val="4D481CC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6BB2430"/>
    <w:multiLevelType w:val="hybridMultilevel"/>
    <w:tmpl w:val="B15CADF4"/>
    <w:lvl w:ilvl="0" w:tplc="4DAC2B7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E1538BD"/>
    <w:multiLevelType w:val="hybridMultilevel"/>
    <w:tmpl w:val="CDC20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FE54353"/>
    <w:multiLevelType w:val="hybridMultilevel"/>
    <w:tmpl w:val="F9ACEC50"/>
    <w:lvl w:ilvl="0" w:tplc="4DAC2B7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3F53791"/>
    <w:multiLevelType w:val="hybridMultilevel"/>
    <w:tmpl w:val="08F04002"/>
    <w:lvl w:ilvl="0" w:tplc="4DAC2B7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5856EE"/>
    <w:multiLevelType w:val="hybridMultilevel"/>
    <w:tmpl w:val="5148944A"/>
    <w:lvl w:ilvl="0" w:tplc="55FAA9C8">
      <w:start w:val="1"/>
      <w:numFmt w:val="decimal"/>
      <w:lvlText w:val="%1."/>
      <w:lvlJc w:val="left"/>
      <w:pPr>
        <w:ind w:left="5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174AA04">
      <w:start w:val="1"/>
      <w:numFmt w:val="lowerLetter"/>
      <w:lvlText w:val="%2"/>
      <w:lvlJc w:val="left"/>
      <w:pPr>
        <w:ind w:left="13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F5A24D4">
      <w:start w:val="1"/>
      <w:numFmt w:val="lowerRoman"/>
      <w:lvlText w:val="%3"/>
      <w:lvlJc w:val="left"/>
      <w:pPr>
        <w:ind w:left="20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14664D6">
      <w:start w:val="1"/>
      <w:numFmt w:val="decimal"/>
      <w:lvlText w:val="%4"/>
      <w:lvlJc w:val="left"/>
      <w:pPr>
        <w:ind w:left="27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69CCBFC">
      <w:start w:val="1"/>
      <w:numFmt w:val="lowerLetter"/>
      <w:lvlText w:val="%5"/>
      <w:lvlJc w:val="left"/>
      <w:pPr>
        <w:ind w:left="35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81C3D42">
      <w:start w:val="1"/>
      <w:numFmt w:val="lowerRoman"/>
      <w:lvlText w:val="%6"/>
      <w:lvlJc w:val="left"/>
      <w:pPr>
        <w:ind w:left="42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1A278D2">
      <w:start w:val="1"/>
      <w:numFmt w:val="decimal"/>
      <w:lvlText w:val="%7"/>
      <w:lvlJc w:val="left"/>
      <w:pPr>
        <w:ind w:left="49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C88E47E">
      <w:start w:val="1"/>
      <w:numFmt w:val="lowerLetter"/>
      <w:lvlText w:val="%8"/>
      <w:lvlJc w:val="left"/>
      <w:pPr>
        <w:ind w:left="56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F34E8D2">
      <w:start w:val="1"/>
      <w:numFmt w:val="lowerRoman"/>
      <w:lvlText w:val="%9"/>
      <w:lvlJc w:val="left"/>
      <w:pPr>
        <w:ind w:left="63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0">
    <w:nsid w:val="56401374"/>
    <w:multiLevelType w:val="hybridMultilevel"/>
    <w:tmpl w:val="FBC8B21E"/>
    <w:lvl w:ilvl="0" w:tplc="4DAC2B72">
      <w:start w:val="1"/>
      <w:numFmt w:val="bullet"/>
      <w:pStyle w:val="En-ttedetabledesmatires"/>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4970F2"/>
    <w:multiLevelType w:val="hybridMultilevel"/>
    <w:tmpl w:val="D2D856C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568B6BEA"/>
    <w:multiLevelType w:val="hybridMultilevel"/>
    <w:tmpl w:val="8BD264EA"/>
    <w:lvl w:ilvl="0" w:tplc="4DAC2B7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9EA26C0"/>
    <w:multiLevelType w:val="hybridMultilevel"/>
    <w:tmpl w:val="B1E427B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D4E45A7"/>
    <w:multiLevelType w:val="hybridMultilevel"/>
    <w:tmpl w:val="99F0FFF4"/>
    <w:lvl w:ilvl="0" w:tplc="EF961080">
      <w:start w:val="1"/>
      <w:numFmt w:val="bullet"/>
      <w:lvlText w:val="-"/>
      <w:lvlJc w:val="left"/>
      <w:pPr>
        <w:ind w:left="720" w:hanging="360"/>
      </w:pPr>
      <w:rPr>
        <w:rFonts w:ascii="Calibri" w:eastAsia="Times New Roman" w:hAnsi="Calibri" w:cs="Times New Roman" w:hint="default"/>
        <w:b/>
        <w:i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F07D7A"/>
    <w:multiLevelType w:val="hybridMultilevel"/>
    <w:tmpl w:val="259AE8B4"/>
    <w:lvl w:ilvl="0" w:tplc="8C7046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436A67"/>
    <w:multiLevelType w:val="hybridMultilevel"/>
    <w:tmpl w:val="739A35C0"/>
    <w:lvl w:ilvl="0" w:tplc="4DAC2B7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2BD2E23"/>
    <w:multiLevelType w:val="hybridMultilevel"/>
    <w:tmpl w:val="449A4416"/>
    <w:lvl w:ilvl="0" w:tplc="4DAC2B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1F61FA"/>
    <w:multiLevelType w:val="hybridMultilevel"/>
    <w:tmpl w:val="DDE8AA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C34D85"/>
    <w:multiLevelType w:val="hybridMultilevel"/>
    <w:tmpl w:val="7E5C1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A5F12EA"/>
    <w:multiLevelType w:val="hybridMultilevel"/>
    <w:tmpl w:val="B36A981A"/>
    <w:lvl w:ilvl="0" w:tplc="4DAC2B7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B6E23BA"/>
    <w:multiLevelType w:val="hybridMultilevel"/>
    <w:tmpl w:val="A2CE4418"/>
    <w:lvl w:ilvl="0" w:tplc="4DAC2B7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F654AA9"/>
    <w:multiLevelType w:val="hybridMultilevel"/>
    <w:tmpl w:val="B6BE21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105D81"/>
    <w:multiLevelType w:val="hybridMultilevel"/>
    <w:tmpl w:val="C95A288C"/>
    <w:lvl w:ilvl="0" w:tplc="4DAC2B72">
      <w:start w:val="1"/>
      <w:numFmt w:val="bullet"/>
      <w:lvlText w:val=""/>
      <w:lvlJc w:val="left"/>
      <w:pPr>
        <w:ind w:left="1428" w:hanging="360"/>
      </w:pPr>
      <w:rPr>
        <w:rFonts w:ascii="Wingdings" w:hAnsi="Wingdings"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nsid w:val="71482723"/>
    <w:multiLevelType w:val="hybridMultilevel"/>
    <w:tmpl w:val="3D72AA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27E2A2E"/>
    <w:multiLevelType w:val="hybridMultilevel"/>
    <w:tmpl w:val="DA94E7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B787BCE"/>
    <w:multiLevelType w:val="hybridMultilevel"/>
    <w:tmpl w:val="85745AB6"/>
    <w:lvl w:ilvl="0" w:tplc="4DAC2B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A1043F"/>
    <w:multiLevelType w:val="hybridMultilevel"/>
    <w:tmpl w:val="1AA210F6"/>
    <w:lvl w:ilvl="0" w:tplc="AF302F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30"/>
  </w:num>
  <w:num w:numId="4">
    <w:abstractNumId w:val="10"/>
  </w:num>
  <w:num w:numId="5">
    <w:abstractNumId w:val="25"/>
  </w:num>
  <w:num w:numId="6">
    <w:abstractNumId w:val="7"/>
  </w:num>
  <w:num w:numId="7">
    <w:abstractNumId w:val="34"/>
  </w:num>
  <w:num w:numId="8">
    <w:abstractNumId w:val="12"/>
  </w:num>
  <w:num w:numId="9">
    <w:abstractNumId w:val="46"/>
  </w:num>
  <w:num w:numId="10">
    <w:abstractNumId w:val="0"/>
  </w:num>
  <w:num w:numId="11">
    <w:abstractNumId w:val="33"/>
  </w:num>
  <w:num w:numId="12">
    <w:abstractNumId w:val="16"/>
  </w:num>
  <w:num w:numId="13">
    <w:abstractNumId w:val="13"/>
  </w:num>
  <w:num w:numId="14">
    <w:abstractNumId w:val="9"/>
  </w:num>
  <w:num w:numId="15">
    <w:abstractNumId w:val="43"/>
  </w:num>
  <w:num w:numId="16">
    <w:abstractNumId w:val="3"/>
  </w:num>
  <w:num w:numId="17">
    <w:abstractNumId w:val="41"/>
  </w:num>
  <w:num w:numId="18">
    <w:abstractNumId w:val="5"/>
  </w:num>
  <w:num w:numId="19">
    <w:abstractNumId w:val="11"/>
  </w:num>
  <w:num w:numId="20">
    <w:abstractNumId w:val="21"/>
  </w:num>
  <w:num w:numId="21">
    <w:abstractNumId w:val="40"/>
  </w:num>
  <w:num w:numId="22">
    <w:abstractNumId w:val="15"/>
  </w:num>
  <w:num w:numId="23">
    <w:abstractNumId w:val="32"/>
  </w:num>
  <w:num w:numId="24">
    <w:abstractNumId w:val="47"/>
  </w:num>
  <w:num w:numId="25">
    <w:abstractNumId w:val="14"/>
  </w:num>
  <w:num w:numId="26">
    <w:abstractNumId w:val="38"/>
  </w:num>
  <w:num w:numId="27">
    <w:abstractNumId w:val="36"/>
  </w:num>
  <w:num w:numId="28">
    <w:abstractNumId w:val="23"/>
  </w:num>
  <w:num w:numId="29">
    <w:abstractNumId w:val="27"/>
  </w:num>
  <w:num w:numId="30">
    <w:abstractNumId w:val="1"/>
  </w:num>
  <w:num w:numId="31">
    <w:abstractNumId w:val="28"/>
  </w:num>
  <w:num w:numId="32">
    <w:abstractNumId w:val="37"/>
  </w:num>
  <w:num w:numId="33">
    <w:abstractNumId w:val="20"/>
  </w:num>
  <w:num w:numId="34">
    <w:abstractNumId w:val="39"/>
  </w:num>
  <w:num w:numId="35">
    <w:abstractNumId w:val="45"/>
  </w:num>
  <w:num w:numId="36">
    <w:abstractNumId w:val="2"/>
  </w:num>
  <w:num w:numId="37">
    <w:abstractNumId w:val="26"/>
  </w:num>
  <w:num w:numId="38">
    <w:abstractNumId w:val="42"/>
  </w:num>
  <w:num w:numId="39">
    <w:abstractNumId w:val="4"/>
    <w:lvlOverride w:ilvl="0">
      <w:lvl w:ilvl="0">
        <w:start w:val="5"/>
        <w:numFmt w:val="none"/>
        <w:lvlText w:val="5.5.1"/>
        <w:lvlJc w:val="left"/>
        <w:pPr>
          <w:ind w:left="360" w:hanging="360"/>
        </w:pPr>
        <w:rPr>
          <w:rFonts w:hint="default"/>
          <w:sz w:val="22"/>
        </w:rPr>
      </w:lvl>
    </w:lvlOverride>
    <w:lvlOverride w:ilvl="1">
      <w:lvl w:ilvl="1">
        <w:start w:val="1"/>
        <w:numFmt w:val="decimal"/>
        <w:lvlText w:val="%1.%2."/>
        <w:lvlJc w:val="left"/>
        <w:pPr>
          <w:ind w:left="720" w:hanging="720"/>
        </w:pPr>
        <w:rPr>
          <w:rFonts w:hint="default"/>
          <w:sz w:val="22"/>
        </w:rPr>
      </w:lvl>
    </w:lvlOverride>
    <w:lvlOverride w:ilvl="2">
      <w:lvl w:ilvl="2">
        <w:start w:val="1"/>
        <w:numFmt w:val="decimal"/>
        <w:lvlText w:val="%15.5.1"/>
        <w:lvlJc w:val="left"/>
        <w:pPr>
          <w:ind w:left="720" w:hanging="720"/>
        </w:pPr>
        <w:rPr>
          <w:rFonts w:hint="default"/>
          <w:sz w:val="22"/>
        </w:rPr>
      </w:lvl>
    </w:lvlOverride>
    <w:lvlOverride w:ilvl="3">
      <w:lvl w:ilvl="3">
        <w:start w:val="1"/>
        <w:numFmt w:val="decimal"/>
        <w:lvlText w:val="%1.%2.%3.%4."/>
        <w:lvlJc w:val="left"/>
        <w:pPr>
          <w:ind w:left="1080" w:hanging="1080"/>
        </w:pPr>
        <w:rPr>
          <w:rFonts w:hint="default"/>
          <w:sz w:val="22"/>
        </w:rPr>
      </w:lvl>
    </w:lvlOverride>
    <w:lvlOverride w:ilvl="4">
      <w:lvl w:ilvl="4">
        <w:start w:val="1"/>
        <w:numFmt w:val="decimal"/>
        <w:lvlText w:val="%15.5.1"/>
        <w:lvlJc w:val="left"/>
        <w:pPr>
          <w:ind w:left="1440" w:hanging="1440"/>
        </w:pPr>
        <w:rPr>
          <w:rFonts w:hint="default"/>
          <w:sz w:val="22"/>
        </w:rPr>
      </w:lvl>
    </w:lvlOverride>
    <w:lvlOverride w:ilvl="5">
      <w:lvl w:ilvl="5">
        <w:start w:val="1"/>
        <w:numFmt w:val="decimal"/>
        <w:lvlText w:val="%1.%2.%3.%4.%5.%6."/>
        <w:lvlJc w:val="left"/>
        <w:pPr>
          <w:ind w:left="1440" w:hanging="1440"/>
        </w:pPr>
        <w:rPr>
          <w:rFonts w:hint="default"/>
          <w:sz w:val="22"/>
        </w:rPr>
      </w:lvl>
    </w:lvlOverride>
    <w:lvlOverride w:ilvl="6">
      <w:lvl w:ilvl="6">
        <w:start w:val="1"/>
        <w:numFmt w:val="decimal"/>
        <w:lvlText w:val="%1.%2.%3.%4.%5.%6.%7."/>
        <w:lvlJc w:val="left"/>
        <w:pPr>
          <w:ind w:left="1800" w:hanging="1800"/>
        </w:pPr>
        <w:rPr>
          <w:rFonts w:hint="default"/>
          <w:sz w:val="22"/>
        </w:rPr>
      </w:lvl>
    </w:lvlOverride>
    <w:lvlOverride w:ilvl="7">
      <w:lvl w:ilvl="7">
        <w:start w:val="1"/>
        <w:numFmt w:val="decimal"/>
        <w:lvlText w:val="%1.%2.%3.%4.%5.%6.%7.%8."/>
        <w:lvlJc w:val="left"/>
        <w:pPr>
          <w:ind w:left="2160" w:hanging="2160"/>
        </w:pPr>
        <w:rPr>
          <w:rFonts w:hint="default"/>
          <w:sz w:val="22"/>
        </w:rPr>
      </w:lvl>
    </w:lvlOverride>
    <w:lvlOverride w:ilvl="8">
      <w:lvl w:ilvl="8">
        <w:start w:val="1"/>
        <w:numFmt w:val="decimal"/>
        <w:lvlText w:val="%1.%2.%3.%4.%5.%6.%7.%8.%9."/>
        <w:lvlJc w:val="left"/>
        <w:pPr>
          <w:ind w:left="2160" w:hanging="2160"/>
        </w:pPr>
        <w:rPr>
          <w:rFonts w:hint="default"/>
          <w:sz w:val="22"/>
        </w:rPr>
      </w:lvl>
    </w:lvlOverride>
  </w:num>
  <w:num w:numId="40">
    <w:abstractNumId w:val="35"/>
  </w:num>
  <w:num w:numId="41">
    <w:abstractNumId w:val="4"/>
    <w:lvlOverride w:ilvl="0">
      <w:lvl w:ilvl="0">
        <w:start w:val="5"/>
        <w:numFmt w:val="none"/>
        <w:lvlText w:val="5.5.1"/>
        <w:lvlJc w:val="left"/>
        <w:pPr>
          <w:ind w:left="360" w:hanging="360"/>
        </w:pPr>
        <w:rPr>
          <w:rFonts w:hint="default"/>
          <w:sz w:val="22"/>
        </w:rPr>
      </w:lvl>
    </w:lvlOverride>
    <w:lvlOverride w:ilvl="1">
      <w:lvl w:ilvl="1">
        <w:start w:val="1"/>
        <w:numFmt w:val="decimal"/>
        <w:lvlText w:val="%1.%2."/>
        <w:lvlJc w:val="left"/>
        <w:pPr>
          <w:ind w:left="720" w:hanging="720"/>
        </w:pPr>
        <w:rPr>
          <w:rFonts w:hint="default"/>
          <w:sz w:val="22"/>
        </w:rPr>
      </w:lvl>
    </w:lvlOverride>
    <w:lvlOverride w:ilvl="2">
      <w:lvl w:ilvl="2">
        <w:start w:val="1"/>
        <w:numFmt w:val="decimal"/>
        <w:lvlText w:val="%15.5.4"/>
        <w:lvlJc w:val="left"/>
        <w:pPr>
          <w:ind w:left="720" w:hanging="720"/>
        </w:pPr>
        <w:rPr>
          <w:rFonts w:hint="default"/>
          <w:sz w:val="22"/>
        </w:rPr>
      </w:lvl>
    </w:lvlOverride>
    <w:lvlOverride w:ilvl="3">
      <w:lvl w:ilvl="3">
        <w:start w:val="1"/>
        <w:numFmt w:val="decimal"/>
        <w:lvlText w:val="%1.%2.%3.%4."/>
        <w:lvlJc w:val="left"/>
        <w:pPr>
          <w:ind w:left="1080" w:hanging="1080"/>
        </w:pPr>
        <w:rPr>
          <w:rFonts w:hint="default"/>
          <w:sz w:val="22"/>
        </w:rPr>
      </w:lvl>
    </w:lvlOverride>
    <w:lvlOverride w:ilvl="4">
      <w:lvl w:ilvl="4">
        <w:start w:val="1"/>
        <w:numFmt w:val="decimal"/>
        <w:lvlText w:val="%15.5.1"/>
        <w:lvlJc w:val="left"/>
        <w:pPr>
          <w:ind w:left="1440" w:hanging="1440"/>
        </w:pPr>
        <w:rPr>
          <w:rFonts w:hint="default"/>
          <w:sz w:val="22"/>
        </w:rPr>
      </w:lvl>
    </w:lvlOverride>
    <w:lvlOverride w:ilvl="5">
      <w:lvl w:ilvl="5">
        <w:start w:val="1"/>
        <w:numFmt w:val="decimal"/>
        <w:lvlText w:val="%1.%2.%3.%4.%5.%6."/>
        <w:lvlJc w:val="left"/>
        <w:pPr>
          <w:ind w:left="1440" w:hanging="1440"/>
        </w:pPr>
        <w:rPr>
          <w:rFonts w:hint="default"/>
          <w:sz w:val="22"/>
        </w:rPr>
      </w:lvl>
    </w:lvlOverride>
    <w:lvlOverride w:ilvl="6">
      <w:lvl w:ilvl="6">
        <w:start w:val="1"/>
        <w:numFmt w:val="decimal"/>
        <w:lvlText w:val="%1.%2.%3.%4.%5.%6.%7."/>
        <w:lvlJc w:val="left"/>
        <w:pPr>
          <w:ind w:left="1800" w:hanging="1800"/>
        </w:pPr>
        <w:rPr>
          <w:rFonts w:hint="default"/>
          <w:sz w:val="22"/>
        </w:rPr>
      </w:lvl>
    </w:lvlOverride>
    <w:lvlOverride w:ilvl="7">
      <w:lvl w:ilvl="7">
        <w:start w:val="1"/>
        <w:numFmt w:val="decimal"/>
        <w:lvlText w:val="%1.%2.%3.%4.%5.%6.%7.%8."/>
        <w:lvlJc w:val="left"/>
        <w:pPr>
          <w:ind w:left="2160" w:hanging="2160"/>
        </w:pPr>
        <w:rPr>
          <w:rFonts w:hint="default"/>
          <w:sz w:val="22"/>
        </w:rPr>
      </w:lvl>
    </w:lvlOverride>
    <w:lvlOverride w:ilvl="8">
      <w:lvl w:ilvl="8">
        <w:start w:val="1"/>
        <w:numFmt w:val="decimal"/>
        <w:lvlText w:val="%1.%2.%3.%4.%5.%6.%7.%8.%9."/>
        <w:lvlJc w:val="left"/>
        <w:pPr>
          <w:ind w:left="2160" w:hanging="2160"/>
        </w:pPr>
        <w:rPr>
          <w:rFonts w:hint="default"/>
          <w:sz w:val="22"/>
        </w:rPr>
      </w:lvl>
    </w:lvlOverride>
  </w:num>
  <w:num w:numId="42">
    <w:abstractNumId w:val="14"/>
  </w:num>
  <w:num w:numId="43">
    <w:abstractNumId w:val="14"/>
  </w:num>
  <w:num w:numId="44">
    <w:abstractNumId w:val="14"/>
  </w:num>
  <w:num w:numId="45">
    <w:abstractNumId w:val="29"/>
  </w:num>
  <w:num w:numId="46">
    <w:abstractNumId w:val="22"/>
  </w:num>
  <w:num w:numId="47">
    <w:abstractNumId w:val="6"/>
  </w:num>
  <w:num w:numId="48">
    <w:abstractNumId w:val="14"/>
  </w:num>
  <w:num w:numId="49">
    <w:abstractNumId w:val="14"/>
    <w:lvlOverride w:ilvl="0">
      <w:startOverride w:val="6"/>
    </w:lvlOverride>
  </w:num>
  <w:num w:numId="50">
    <w:abstractNumId w:val="14"/>
    <w:lvlOverride w:ilvl="0">
      <w:startOverride w:val="6"/>
    </w:lvlOverride>
  </w:num>
  <w:num w:numId="51">
    <w:abstractNumId w:val="8"/>
  </w:num>
  <w:num w:numId="52">
    <w:abstractNumId w:val="24"/>
  </w:num>
  <w:num w:numId="53">
    <w:abstractNumId w:val="18"/>
  </w:num>
  <w:num w:numId="54">
    <w:abstractNumId w:val="44"/>
  </w:num>
  <w:num w:numId="55">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lignBordersAndEdges/>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294"/>
    <w:rsid w:val="00007F3B"/>
    <w:rsid w:val="00012EF6"/>
    <w:rsid w:val="00013408"/>
    <w:rsid w:val="00020170"/>
    <w:rsid w:val="000232F5"/>
    <w:rsid w:val="0002738E"/>
    <w:rsid w:val="0003246B"/>
    <w:rsid w:val="000339C4"/>
    <w:rsid w:val="0003452F"/>
    <w:rsid w:val="000372BD"/>
    <w:rsid w:val="00040F7A"/>
    <w:rsid w:val="0004410E"/>
    <w:rsid w:val="00045139"/>
    <w:rsid w:val="00045224"/>
    <w:rsid w:val="0005475F"/>
    <w:rsid w:val="000554DB"/>
    <w:rsid w:val="00066A3C"/>
    <w:rsid w:val="000675EC"/>
    <w:rsid w:val="00070352"/>
    <w:rsid w:val="000704E8"/>
    <w:rsid w:val="00070903"/>
    <w:rsid w:val="00070E51"/>
    <w:rsid w:val="000715E0"/>
    <w:rsid w:val="0007189B"/>
    <w:rsid w:val="00072D6D"/>
    <w:rsid w:val="00073C7C"/>
    <w:rsid w:val="00075485"/>
    <w:rsid w:val="00077181"/>
    <w:rsid w:val="000807FF"/>
    <w:rsid w:val="00082ED4"/>
    <w:rsid w:val="00086765"/>
    <w:rsid w:val="00095CE2"/>
    <w:rsid w:val="000B1BF8"/>
    <w:rsid w:val="000C13C1"/>
    <w:rsid w:val="000C23FF"/>
    <w:rsid w:val="000D691B"/>
    <w:rsid w:val="000E017C"/>
    <w:rsid w:val="000E5FB9"/>
    <w:rsid w:val="000F763D"/>
    <w:rsid w:val="001145A5"/>
    <w:rsid w:val="001222C4"/>
    <w:rsid w:val="00123F2B"/>
    <w:rsid w:val="00127D0B"/>
    <w:rsid w:val="001319AF"/>
    <w:rsid w:val="00135722"/>
    <w:rsid w:val="00141F13"/>
    <w:rsid w:val="001428DF"/>
    <w:rsid w:val="00144598"/>
    <w:rsid w:val="00144A82"/>
    <w:rsid w:val="00145E78"/>
    <w:rsid w:val="00150339"/>
    <w:rsid w:val="0015288B"/>
    <w:rsid w:val="0016301A"/>
    <w:rsid w:val="00174EF9"/>
    <w:rsid w:val="00175812"/>
    <w:rsid w:val="00175CD8"/>
    <w:rsid w:val="0018344F"/>
    <w:rsid w:val="00186AF8"/>
    <w:rsid w:val="00187318"/>
    <w:rsid w:val="00193A7E"/>
    <w:rsid w:val="00194D1D"/>
    <w:rsid w:val="00197EA3"/>
    <w:rsid w:val="001B3577"/>
    <w:rsid w:val="001C13CE"/>
    <w:rsid w:val="001C277E"/>
    <w:rsid w:val="001D0CBB"/>
    <w:rsid w:val="001D3711"/>
    <w:rsid w:val="001D4CB9"/>
    <w:rsid w:val="001E05CE"/>
    <w:rsid w:val="001E0F1D"/>
    <w:rsid w:val="001F09AC"/>
    <w:rsid w:val="001F10AE"/>
    <w:rsid w:val="001F1C18"/>
    <w:rsid w:val="001F5E08"/>
    <w:rsid w:val="001F6530"/>
    <w:rsid w:val="00202F67"/>
    <w:rsid w:val="00203599"/>
    <w:rsid w:val="00210E62"/>
    <w:rsid w:val="002113F8"/>
    <w:rsid w:val="00221DF9"/>
    <w:rsid w:val="00222C70"/>
    <w:rsid w:val="00224FE1"/>
    <w:rsid w:val="002300CC"/>
    <w:rsid w:val="0023021C"/>
    <w:rsid w:val="002367B9"/>
    <w:rsid w:val="00241CCE"/>
    <w:rsid w:val="00242CD3"/>
    <w:rsid w:val="0024604B"/>
    <w:rsid w:val="0025257D"/>
    <w:rsid w:val="0026272D"/>
    <w:rsid w:val="00264E5E"/>
    <w:rsid w:val="00280679"/>
    <w:rsid w:val="00282CE3"/>
    <w:rsid w:val="00287A30"/>
    <w:rsid w:val="00290BD5"/>
    <w:rsid w:val="002944A8"/>
    <w:rsid w:val="002A5AFB"/>
    <w:rsid w:val="002C481B"/>
    <w:rsid w:val="002C6672"/>
    <w:rsid w:val="002C7B19"/>
    <w:rsid w:val="002D2B74"/>
    <w:rsid w:val="002D5CA4"/>
    <w:rsid w:val="002D6D26"/>
    <w:rsid w:val="002E2D65"/>
    <w:rsid w:val="0030365C"/>
    <w:rsid w:val="00306595"/>
    <w:rsid w:val="003116F2"/>
    <w:rsid w:val="00312100"/>
    <w:rsid w:val="00313662"/>
    <w:rsid w:val="003160B2"/>
    <w:rsid w:val="00321A76"/>
    <w:rsid w:val="003223F0"/>
    <w:rsid w:val="00323F19"/>
    <w:rsid w:val="003253D9"/>
    <w:rsid w:val="0032778A"/>
    <w:rsid w:val="00334291"/>
    <w:rsid w:val="00337FD0"/>
    <w:rsid w:val="0034383D"/>
    <w:rsid w:val="0034650F"/>
    <w:rsid w:val="003562D4"/>
    <w:rsid w:val="0035750D"/>
    <w:rsid w:val="003601F4"/>
    <w:rsid w:val="0036214B"/>
    <w:rsid w:val="00372407"/>
    <w:rsid w:val="00376C98"/>
    <w:rsid w:val="00377285"/>
    <w:rsid w:val="0038252C"/>
    <w:rsid w:val="0039335B"/>
    <w:rsid w:val="003A10B9"/>
    <w:rsid w:val="003A4C4E"/>
    <w:rsid w:val="003A5134"/>
    <w:rsid w:val="003B10D1"/>
    <w:rsid w:val="003B3C7F"/>
    <w:rsid w:val="003B77B8"/>
    <w:rsid w:val="003B7BD7"/>
    <w:rsid w:val="003C3184"/>
    <w:rsid w:val="003C40B9"/>
    <w:rsid w:val="003C6AF9"/>
    <w:rsid w:val="003C6F39"/>
    <w:rsid w:val="003D4DF9"/>
    <w:rsid w:val="003E1CD8"/>
    <w:rsid w:val="003F12E2"/>
    <w:rsid w:val="00404BC1"/>
    <w:rsid w:val="00405A2E"/>
    <w:rsid w:val="00407F3A"/>
    <w:rsid w:val="004112B0"/>
    <w:rsid w:val="004133D1"/>
    <w:rsid w:val="00426BB4"/>
    <w:rsid w:val="00431B9D"/>
    <w:rsid w:val="004407A1"/>
    <w:rsid w:val="0044087B"/>
    <w:rsid w:val="00442D67"/>
    <w:rsid w:val="00444EFD"/>
    <w:rsid w:val="00445F51"/>
    <w:rsid w:val="00451C16"/>
    <w:rsid w:val="00451E1F"/>
    <w:rsid w:val="0045545C"/>
    <w:rsid w:val="00455712"/>
    <w:rsid w:val="004629EA"/>
    <w:rsid w:val="00465EC4"/>
    <w:rsid w:val="0047227C"/>
    <w:rsid w:val="00473145"/>
    <w:rsid w:val="00481FB6"/>
    <w:rsid w:val="00483724"/>
    <w:rsid w:val="0048422F"/>
    <w:rsid w:val="00485B39"/>
    <w:rsid w:val="004860F4"/>
    <w:rsid w:val="004909C4"/>
    <w:rsid w:val="00493711"/>
    <w:rsid w:val="004A198A"/>
    <w:rsid w:val="004A3175"/>
    <w:rsid w:val="004A7B60"/>
    <w:rsid w:val="004B1E69"/>
    <w:rsid w:val="004B2219"/>
    <w:rsid w:val="004B3C35"/>
    <w:rsid w:val="004B4604"/>
    <w:rsid w:val="004B4D08"/>
    <w:rsid w:val="004C042A"/>
    <w:rsid w:val="004C65EB"/>
    <w:rsid w:val="004C7B6E"/>
    <w:rsid w:val="004D0E44"/>
    <w:rsid w:val="004D29AE"/>
    <w:rsid w:val="004D2CD5"/>
    <w:rsid w:val="004D64D9"/>
    <w:rsid w:val="004E1721"/>
    <w:rsid w:val="004E32E1"/>
    <w:rsid w:val="004F157B"/>
    <w:rsid w:val="004F4B54"/>
    <w:rsid w:val="00503DB2"/>
    <w:rsid w:val="00505C19"/>
    <w:rsid w:val="00505D83"/>
    <w:rsid w:val="00524B24"/>
    <w:rsid w:val="0052610B"/>
    <w:rsid w:val="00530AA1"/>
    <w:rsid w:val="00543BF9"/>
    <w:rsid w:val="00544F8E"/>
    <w:rsid w:val="00545AFA"/>
    <w:rsid w:val="0055170D"/>
    <w:rsid w:val="00551F1A"/>
    <w:rsid w:val="00553399"/>
    <w:rsid w:val="00560E4C"/>
    <w:rsid w:val="00561B9C"/>
    <w:rsid w:val="0057324B"/>
    <w:rsid w:val="00573C85"/>
    <w:rsid w:val="00580D02"/>
    <w:rsid w:val="00586257"/>
    <w:rsid w:val="00586F82"/>
    <w:rsid w:val="00587843"/>
    <w:rsid w:val="00593A46"/>
    <w:rsid w:val="0059436C"/>
    <w:rsid w:val="00595844"/>
    <w:rsid w:val="00597BB6"/>
    <w:rsid w:val="005A1DB9"/>
    <w:rsid w:val="005D07C7"/>
    <w:rsid w:val="005D2ED1"/>
    <w:rsid w:val="005D787D"/>
    <w:rsid w:val="005E1C04"/>
    <w:rsid w:val="005E4778"/>
    <w:rsid w:val="005E6B14"/>
    <w:rsid w:val="005E74D4"/>
    <w:rsid w:val="005F057F"/>
    <w:rsid w:val="005F0E5C"/>
    <w:rsid w:val="005F462B"/>
    <w:rsid w:val="005F684D"/>
    <w:rsid w:val="00604133"/>
    <w:rsid w:val="006110F5"/>
    <w:rsid w:val="00611C22"/>
    <w:rsid w:val="00615814"/>
    <w:rsid w:val="00621BF1"/>
    <w:rsid w:val="00623CA1"/>
    <w:rsid w:val="006323F5"/>
    <w:rsid w:val="00635DFF"/>
    <w:rsid w:val="00641735"/>
    <w:rsid w:val="00651231"/>
    <w:rsid w:val="0065554D"/>
    <w:rsid w:val="006639C2"/>
    <w:rsid w:val="006657BA"/>
    <w:rsid w:val="00665918"/>
    <w:rsid w:val="00666467"/>
    <w:rsid w:val="00671170"/>
    <w:rsid w:val="006721E3"/>
    <w:rsid w:val="00673125"/>
    <w:rsid w:val="0067322E"/>
    <w:rsid w:val="00677BCD"/>
    <w:rsid w:val="006809A4"/>
    <w:rsid w:val="0068488A"/>
    <w:rsid w:val="00684E8B"/>
    <w:rsid w:val="00685281"/>
    <w:rsid w:val="00691A2E"/>
    <w:rsid w:val="006A45F8"/>
    <w:rsid w:val="006B16D6"/>
    <w:rsid w:val="006B1B89"/>
    <w:rsid w:val="006B5811"/>
    <w:rsid w:val="006B60FC"/>
    <w:rsid w:val="006D18A8"/>
    <w:rsid w:val="006D4645"/>
    <w:rsid w:val="006D4800"/>
    <w:rsid w:val="006D51E9"/>
    <w:rsid w:val="006D625C"/>
    <w:rsid w:val="006E1B16"/>
    <w:rsid w:val="006F46E3"/>
    <w:rsid w:val="006F4D60"/>
    <w:rsid w:val="006F6596"/>
    <w:rsid w:val="007160B8"/>
    <w:rsid w:val="00716CF2"/>
    <w:rsid w:val="00735457"/>
    <w:rsid w:val="00741583"/>
    <w:rsid w:val="00763407"/>
    <w:rsid w:val="00771ABA"/>
    <w:rsid w:val="007727B9"/>
    <w:rsid w:val="00775B4F"/>
    <w:rsid w:val="00782E38"/>
    <w:rsid w:val="00782E78"/>
    <w:rsid w:val="007A0795"/>
    <w:rsid w:val="007A34E3"/>
    <w:rsid w:val="007A4EDF"/>
    <w:rsid w:val="007B20A8"/>
    <w:rsid w:val="007B610D"/>
    <w:rsid w:val="007C008A"/>
    <w:rsid w:val="007C1E33"/>
    <w:rsid w:val="007C4D7A"/>
    <w:rsid w:val="007D2C1B"/>
    <w:rsid w:val="007E7828"/>
    <w:rsid w:val="007F0B03"/>
    <w:rsid w:val="007F10D8"/>
    <w:rsid w:val="007F18CB"/>
    <w:rsid w:val="007F3638"/>
    <w:rsid w:val="007F41D4"/>
    <w:rsid w:val="007F5513"/>
    <w:rsid w:val="008108A9"/>
    <w:rsid w:val="00813A59"/>
    <w:rsid w:val="008143DE"/>
    <w:rsid w:val="0082102A"/>
    <w:rsid w:val="008232BF"/>
    <w:rsid w:val="008247A4"/>
    <w:rsid w:val="008263E1"/>
    <w:rsid w:val="00831AE5"/>
    <w:rsid w:val="008429BC"/>
    <w:rsid w:val="00842B5F"/>
    <w:rsid w:val="00851C39"/>
    <w:rsid w:val="008531C3"/>
    <w:rsid w:val="00853D27"/>
    <w:rsid w:val="008541ED"/>
    <w:rsid w:val="0086555E"/>
    <w:rsid w:val="008669A7"/>
    <w:rsid w:val="00874587"/>
    <w:rsid w:val="00875CDE"/>
    <w:rsid w:val="0087671B"/>
    <w:rsid w:val="00876AEA"/>
    <w:rsid w:val="00876B1A"/>
    <w:rsid w:val="00880ECF"/>
    <w:rsid w:val="0088244A"/>
    <w:rsid w:val="00891555"/>
    <w:rsid w:val="00892671"/>
    <w:rsid w:val="00895522"/>
    <w:rsid w:val="008A2338"/>
    <w:rsid w:val="008A7090"/>
    <w:rsid w:val="008B2421"/>
    <w:rsid w:val="008B6347"/>
    <w:rsid w:val="008B7369"/>
    <w:rsid w:val="008C1013"/>
    <w:rsid w:val="008C745A"/>
    <w:rsid w:val="008D1354"/>
    <w:rsid w:val="008D79A8"/>
    <w:rsid w:val="008E1801"/>
    <w:rsid w:val="008E1A62"/>
    <w:rsid w:val="008E2408"/>
    <w:rsid w:val="008E36B7"/>
    <w:rsid w:val="008F60A5"/>
    <w:rsid w:val="0090443F"/>
    <w:rsid w:val="00917579"/>
    <w:rsid w:val="0092265C"/>
    <w:rsid w:val="00922EE7"/>
    <w:rsid w:val="00926CF3"/>
    <w:rsid w:val="0093150A"/>
    <w:rsid w:val="00931AB2"/>
    <w:rsid w:val="00945E73"/>
    <w:rsid w:val="00956A06"/>
    <w:rsid w:val="00960D7F"/>
    <w:rsid w:val="00965D13"/>
    <w:rsid w:val="009736DE"/>
    <w:rsid w:val="00975C7C"/>
    <w:rsid w:val="00976B69"/>
    <w:rsid w:val="00980115"/>
    <w:rsid w:val="00983C0F"/>
    <w:rsid w:val="0099446A"/>
    <w:rsid w:val="009969CB"/>
    <w:rsid w:val="00997493"/>
    <w:rsid w:val="009A0C92"/>
    <w:rsid w:val="009C5E08"/>
    <w:rsid w:val="009D0CC8"/>
    <w:rsid w:val="009D3C9B"/>
    <w:rsid w:val="009D619B"/>
    <w:rsid w:val="009E23F7"/>
    <w:rsid w:val="009F13F4"/>
    <w:rsid w:val="009F418B"/>
    <w:rsid w:val="00A0396E"/>
    <w:rsid w:val="00A03C46"/>
    <w:rsid w:val="00A107F7"/>
    <w:rsid w:val="00A1236C"/>
    <w:rsid w:val="00A3384A"/>
    <w:rsid w:val="00A3526A"/>
    <w:rsid w:val="00A42A1A"/>
    <w:rsid w:val="00A524E3"/>
    <w:rsid w:val="00A54B15"/>
    <w:rsid w:val="00A62231"/>
    <w:rsid w:val="00A62F79"/>
    <w:rsid w:val="00A646DF"/>
    <w:rsid w:val="00A65EA0"/>
    <w:rsid w:val="00A718E5"/>
    <w:rsid w:val="00A76AE5"/>
    <w:rsid w:val="00A814CB"/>
    <w:rsid w:val="00A860FD"/>
    <w:rsid w:val="00A9697C"/>
    <w:rsid w:val="00AA0EA0"/>
    <w:rsid w:val="00AA37B4"/>
    <w:rsid w:val="00AA3F62"/>
    <w:rsid w:val="00AA5A3F"/>
    <w:rsid w:val="00AA70AB"/>
    <w:rsid w:val="00AB0D34"/>
    <w:rsid w:val="00AB42F4"/>
    <w:rsid w:val="00AB632C"/>
    <w:rsid w:val="00AC197D"/>
    <w:rsid w:val="00AC22D6"/>
    <w:rsid w:val="00AC2A28"/>
    <w:rsid w:val="00AC4169"/>
    <w:rsid w:val="00AC5C1A"/>
    <w:rsid w:val="00AD379B"/>
    <w:rsid w:val="00AE07FF"/>
    <w:rsid w:val="00AE41A7"/>
    <w:rsid w:val="00AF289A"/>
    <w:rsid w:val="00AF56D9"/>
    <w:rsid w:val="00AF7C6B"/>
    <w:rsid w:val="00B00428"/>
    <w:rsid w:val="00B00578"/>
    <w:rsid w:val="00B107B0"/>
    <w:rsid w:val="00B155F0"/>
    <w:rsid w:val="00B21645"/>
    <w:rsid w:val="00B21A66"/>
    <w:rsid w:val="00B2272C"/>
    <w:rsid w:val="00B22D32"/>
    <w:rsid w:val="00B34599"/>
    <w:rsid w:val="00B348AA"/>
    <w:rsid w:val="00B3527A"/>
    <w:rsid w:val="00B42D68"/>
    <w:rsid w:val="00B4368A"/>
    <w:rsid w:val="00B5182F"/>
    <w:rsid w:val="00B51B2E"/>
    <w:rsid w:val="00B53E25"/>
    <w:rsid w:val="00B55542"/>
    <w:rsid w:val="00B562C9"/>
    <w:rsid w:val="00B56ED5"/>
    <w:rsid w:val="00B66C78"/>
    <w:rsid w:val="00B90A91"/>
    <w:rsid w:val="00B929B4"/>
    <w:rsid w:val="00B97F88"/>
    <w:rsid w:val="00BA1773"/>
    <w:rsid w:val="00BA3A57"/>
    <w:rsid w:val="00BA7273"/>
    <w:rsid w:val="00BA78FB"/>
    <w:rsid w:val="00BB1A59"/>
    <w:rsid w:val="00BB629E"/>
    <w:rsid w:val="00BB6460"/>
    <w:rsid w:val="00BD008D"/>
    <w:rsid w:val="00BD2366"/>
    <w:rsid w:val="00BF5273"/>
    <w:rsid w:val="00BF6CC0"/>
    <w:rsid w:val="00C22F61"/>
    <w:rsid w:val="00C25904"/>
    <w:rsid w:val="00C304A4"/>
    <w:rsid w:val="00C33A9E"/>
    <w:rsid w:val="00C33E64"/>
    <w:rsid w:val="00C37152"/>
    <w:rsid w:val="00C415C4"/>
    <w:rsid w:val="00C43EF7"/>
    <w:rsid w:val="00C45960"/>
    <w:rsid w:val="00C46FA3"/>
    <w:rsid w:val="00C47FF0"/>
    <w:rsid w:val="00C50585"/>
    <w:rsid w:val="00C52463"/>
    <w:rsid w:val="00C64E1B"/>
    <w:rsid w:val="00C72011"/>
    <w:rsid w:val="00C819C0"/>
    <w:rsid w:val="00C85D6B"/>
    <w:rsid w:val="00CA2E9F"/>
    <w:rsid w:val="00CA51D9"/>
    <w:rsid w:val="00CA6E02"/>
    <w:rsid w:val="00CB2A90"/>
    <w:rsid w:val="00CB3758"/>
    <w:rsid w:val="00CC43D9"/>
    <w:rsid w:val="00CD4664"/>
    <w:rsid w:val="00CD49B5"/>
    <w:rsid w:val="00CE3A75"/>
    <w:rsid w:val="00D0115E"/>
    <w:rsid w:val="00D04F5B"/>
    <w:rsid w:val="00D12D47"/>
    <w:rsid w:val="00D206C5"/>
    <w:rsid w:val="00D226FE"/>
    <w:rsid w:val="00D2304D"/>
    <w:rsid w:val="00D327DD"/>
    <w:rsid w:val="00D3327E"/>
    <w:rsid w:val="00D41D0C"/>
    <w:rsid w:val="00D4208B"/>
    <w:rsid w:val="00D53B02"/>
    <w:rsid w:val="00D6129F"/>
    <w:rsid w:val="00D72F6B"/>
    <w:rsid w:val="00D758B3"/>
    <w:rsid w:val="00DA3BF7"/>
    <w:rsid w:val="00DB4954"/>
    <w:rsid w:val="00DC0D75"/>
    <w:rsid w:val="00DC2910"/>
    <w:rsid w:val="00DC4EEF"/>
    <w:rsid w:val="00DD484F"/>
    <w:rsid w:val="00DD6366"/>
    <w:rsid w:val="00DD654D"/>
    <w:rsid w:val="00DE52B1"/>
    <w:rsid w:val="00DE5928"/>
    <w:rsid w:val="00DE5B50"/>
    <w:rsid w:val="00DF4FD8"/>
    <w:rsid w:val="00E03DF1"/>
    <w:rsid w:val="00E13BE0"/>
    <w:rsid w:val="00E21DCC"/>
    <w:rsid w:val="00E23387"/>
    <w:rsid w:val="00E25018"/>
    <w:rsid w:val="00E2516C"/>
    <w:rsid w:val="00E26414"/>
    <w:rsid w:val="00E35738"/>
    <w:rsid w:val="00E4008B"/>
    <w:rsid w:val="00E4595D"/>
    <w:rsid w:val="00E51268"/>
    <w:rsid w:val="00E60294"/>
    <w:rsid w:val="00E718AB"/>
    <w:rsid w:val="00E754BC"/>
    <w:rsid w:val="00E87035"/>
    <w:rsid w:val="00E9476D"/>
    <w:rsid w:val="00ED0210"/>
    <w:rsid w:val="00ED0C53"/>
    <w:rsid w:val="00EE7DB6"/>
    <w:rsid w:val="00F00886"/>
    <w:rsid w:val="00F074D7"/>
    <w:rsid w:val="00F13636"/>
    <w:rsid w:val="00F1753D"/>
    <w:rsid w:val="00F17C93"/>
    <w:rsid w:val="00F17EF5"/>
    <w:rsid w:val="00F20661"/>
    <w:rsid w:val="00F20689"/>
    <w:rsid w:val="00F33336"/>
    <w:rsid w:val="00F46052"/>
    <w:rsid w:val="00F53D6A"/>
    <w:rsid w:val="00F663F3"/>
    <w:rsid w:val="00F72E4C"/>
    <w:rsid w:val="00F74123"/>
    <w:rsid w:val="00F910F3"/>
    <w:rsid w:val="00F95CB7"/>
    <w:rsid w:val="00F97A25"/>
    <w:rsid w:val="00FB40E0"/>
    <w:rsid w:val="00FB4A04"/>
    <w:rsid w:val="00FC0F4F"/>
    <w:rsid w:val="00FC4872"/>
    <w:rsid w:val="00FC741D"/>
    <w:rsid w:val="00FD098C"/>
    <w:rsid w:val="00FD38DE"/>
    <w:rsid w:val="00FD6B56"/>
    <w:rsid w:val="00FE3C35"/>
    <w:rsid w:val="00FF5A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3F7"/>
    <w:pPr>
      <w:spacing w:after="200" w:line="276" w:lineRule="auto"/>
    </w:pPr>
    <w:rPr>
      <w:rFonts w:ascii="Gill Sans MT" w:hAnsi="Gill Sans MT"/>
    </w:rPr>
  </w:style>
  <w:style w:type="paragraph" w:styleId="Titre1">
    <w:name w:val="heading 1"/>
    <w:basedOn w:val="Normal"/>
    <w:next w:val="Normal"/>
    <w:link w:val="Titre1Car"/>
    <w:uiPriority w:val="9"/>
    <w:qFormat/>
    <w:rsid w:val="003D4DF9"/>
    <w:pPr>
      <w:keepNext/>
      <w:keepLines/>
      <w:numPr>
        <w:numId w:val="25"/>
      </w:numPr>
      <w:pBdr>
        <w:bottom w:val="single" w:sz="2" w:space="1" w:color="C45911" w:themeColor="accent2" w:themeShade="BF"/>
        <w:right w:val="single" w:sz="48" w:space="4" w:color="C45911" w:themeColor="accent2" w:themeShade="BF"/>
      </w:pBdr>
      <w:spacing w:before="240" w:after="0" w:line="240" w:lineRule="auto"/>
      <w:outlineLvl w:val="0"/>
    </w:pPr>
    <w:rPr>
      <w:rFonts w:eastAsiaTheme="majorEastAsia" w:cstheme="majorBidi"/>
      <w:b/>
      <w:color w:val="0070C0"/>
      <w:sz w:val="24"/>
      <w:szCs w:val="32"/>
      <w:lang w:eastAsia="fr-FR"/>
    </w:rPr>
  </w:style>
  <w:style w:type="paragraph" w:styleId="Titre2">
    <w:name w:val="heading 2"/>
    <w:basedOn w:val="Normal"/>
    <w:next w:val="Normal"/>
    <w:link w:val="Titre2Car"/>
    <w:uiPriority w:val="9"/>
    <w:unhideWhenUsed/>
    <w:qFormat/>
    <w:rsid w:val="004B4604"/>
    <w:pPr>
      <w:keepNext/>
      <w:keepLines/>
      <w:numPr>
        <w:ilvl w:val="1"/>
        <w:numId w:val="25"/>
      </w:numPr>
      <w:spacing w:before="200" w:after="0" w:line="240" w:lineRule="auto"/>
      <w:outlineLvl w:val="1"/>
    </w:pPr>
    <w:rPr>
      <w:rFonts w:eastAsiaTheme="majorEastAsia" w:cstheme="majorBidi"/>
      <w:b/>
      <w:bCs/>
      <w:color w:val="C45911" w:themeColor="accent2" w:themeShade="BF"/>
      <w:sz w:val="24"/>
      <w:szCs w:val="26"/>
      <w:lang w:eastAsia="fr-FR"/>
    </w:rPr>
  </w:style>
  <w:style w:type="paragraph" w:styleId="Titre3">
    <w:name w:val="heading 3"/>
    <w:basedOn w:val="Normal"/>
    <w:next w:val="Normal"/>
    <w:link w:val="Titre3Car"/>
    <w:unhideWhenUsed/>
    <w:qFormat/>
    <w:rsid w:val="00323F19"/>
    <w:pPr>
      <w:keepNext/>
      <w:keepLines/>
      <w:numPr>
        <w:ilvl w:val="2"/>
        <w:numId w:val="25"/>
      </w:numPr>
      <w:spacing w:before="200" w:after="0" w:line="240" w:lineRule="auto"/>
      <w:outlineLvl w:val="2"/>
    </w:pPr>
    <w:rPr>
      <w:rFonts w:eastAsiaTheme="majorEastAsia" w:cstheme="majorBidi"/>
      <w:b/>
      <w:bCs/>
      <w:sz w:val="24"/>
      <w:lang w:eastAsia="fr-FR"/>
    </w:rPr>
  </w:style>
  <w:style w:type="paragraph" w:styleId="Titre4">
    <w:name w:val="heading 4"/>
    <w:basedOn w:val="Normal"/>
    <w:next w:val="Normal"/>
    <w:link w:val="Titre4Car"/>
    <w:uiPriority w:val="9"/>
    <w:unhideWhenUsed/>
    <w:qFormat/>
    <w:rsid w:val="0067322E"/>
    <w:pPr>
      <w:keepNext/>
      <w:numPr>
        <w:ilvl w:val="3"/>
        <w:numId w:val="25"/>
      </w:numPr>
      <w:spacing w:before="240" w:after="60" w:line="240" w:lineRule="auto"/>
      <w:outlineLvl w:val="3"/>
    </w:pPr>
    <w:rPr>
      <w:rFonts w:eastAsia="Times New Roman" w:cs="Times New Roman"/>
      <w:b/>
      <w:bCs/>
      <w:color w:val="2F5496" w:themeColor="accent5" w:themeShade="BF"/>
      <w:szCs w:val="28"/>
      <w:lang w:eastAsia="fr-FR"/>
    </w:rPr>
  </w:style>
  <w:style w:type="paragraph" w:styleId="Titre5">
    <w:name w:val="heading 5"/>
    <w:basedOn w:val="Normal"/>
    <w:next w:val="Normal"/>
    <w:link w:val="Titre5Car"/>
    <w:uiPriority w:val="9"/>
    <w:unhideWhenUsed/>
    <w:qFormat/>
    <w:rsid w:val="001E0F1D"/>
    <w:pPr>
      <w:keepNext/>
      <w:keepLines/>
      <w:numPr>
        <w:ilvl w:val="4"/>
        <w:numId w:val="25"/>
      </w:numPr>
      <w:spacing w:before="200" w:after="0" w:line="240" w:lineRule="auto"/>
      <w:outlineLvl w:val="4"/>
    </w:pPr>
    <w:rPr>
      <w:rFonts w:eastAsiaTheme="majorEastAsia" w:cstheme="majorBidi"/>
      <w:color w:val="2E74B5" w:themeColor="accent1" w:themeShade="BF"/>
      <w:lang w:eastAsia="fr-FR"/>
    </w:rPr>
  </w:style>
  <w:style w:type="paragraph" w:styleId="Titre6">
    <w:name w:val="heading 6"/>
    <w:basedOn w:val="Normal"/>
    <w:next w:val="Normal"/>
    <w:link w:val="Titre6Car"/>
    <w:uiPriority w:val="9"/>
    <w:semiHidden/>
    <w:unhideWhenUsed/>
    <w:qFormat/>
    <w:rsid w:val="00431B9D"/>
    <w:pPr>
      <w:keepNext/>
      <w:keepLines/>
      <w:numPr>
        <w:ilvl w:val="5"/>
        <w:numId w:val="25"/>
      </w:numPr>
      <w:spacing w:before="40" w:after="0" w:line="240" w:lineRule="auto"/>
      <w:outlineLvl w:val="5"/>
    </w:pPr>
    <w:rPr>
      <w:rFonts w:asciiTheme="majorHAnsi" w:eastAsiaTheme="majorEastAsia" w:hAnsiTheme="majorHAnsi" w:cstheme="majorBidi"/>
      <w:color w:val="1F4D78" w:themeColor="accent1" w:themeShade="7F"/>
      <w:sz w:val="24"/>
      <w:szCs w:val="24"/>
      <w:lang w:eastAsia="fr-FR"/>
    </w:rPr>
  </w:style>
  <w:style w:type="paragraph" w:styleId="Titre7">
    <w:name w:val="heading 7"/>
    <w:basedOn w:val="Normal"/>
    <w:next w:val="Normal"/>
    <w:link w:val="Titre7Car"/>
    <w:qFormat/>
    <w:rsid w:val="00431B9D"/>
    <w:pPr>
      <w:keepNext/>
      <w:numPr>
        <w:ilvl w:val="6"/>
        <w:numId w:val="25"/>
      </w:numPr>
      <w:spacing w:after="0" w:line="240" w:lineRule="auto"/>
      <w:jc w:val="center"/>
      <w:outlineLvl w:val="6"/>
    </w:pPr>
    <w:rPr>
      <w:rFonts w:ascii="Times New Roman" w:eastAsia="Times New Roman" w:hAnsi="Times New Roman" w:cs="Times New Roman"/>
      <w:b/>
      <w:sz w:val="36"/>
      <w:szCs w:val="20"/>
      <w:lang w:val="en-GB"/>
    </w:rPr>
  </w:style>
  <w:style w:type="paragraph" w:styleId="Titre8">
    <w:name w:val="heading 8"/>
    <w:basedOn w:val="Normal"/>
    <w:next w:val="Normal"/>
    <w:link w:val="Titre8Car"/>
    <w:uiPriority w:val="9"/>
    <w:semiHidden/>
    <w:unhideWhenUsed/>
    <w:qFormat/>
    <w:rsid w:val="00431B9D"/>
    <w:pPr>
      <w:keepNext/>
      <w:keepLines/>
      <w:numPr>
        <w:ilvl w:val="7"/>
        <w:numId w:val="25"/>
      </w:numPr>
      <w:spacing w:before="40" w:after="0" w:line="240" w:lineRule="auto"/>
      <w:outlineLvl w:val="7"/>
    </w:pPr>
    <w:rPr>
      <w:rFonts w:asciiTheme="majorHAnsi" w:eastAsiaTheme="majorEastAsia" w:hAnsiTheme="majorHAnsi" w:cstheme="majorBidi"/>
      <w:color w:val="272727" w:themeColor="text1" w:themeTint="D8"/>
      <w:sz w:val="21"/>
      <w:szCs w:val="21"/>
      <w:lang w:eastAsia="fr-FR"/>
    </w:rPr>
  </w:style>
  <w:style w:type="paragraph" w:styleId="Titre9">
    <w:name w:val="heading 9"/>
    <w:basedOn w:val="Normal"/>
    <w:next w:val="Normal"/>
    <w:link w:val="Titre9Car"/>
    <w:uiPriority w:val="9"/>
    <w:semiHidden/>
    <w:unhideWhenUsed/>
    <w:qFormat/>
    <w:rsid w:val="00431B9D"/>
    <w:pPr>
      <w:keepNext/>
      <w:keepLines/>
      <w:numPr>
        <w:ilvl w:val="8"/>
        <w:numId w:val="25"/>
      </w:numPr>
      <w:spacing w:before="40" w:after="0" w:line="240" w:lineRule="auto"/>
      <w:outlineLvl w:val="8"/>
    </w:pPr>
    <w:rPr>
      <w:rFonts w:asciiTheme="majorHAnsi" w:eastAsiaTheme="majorEastAsia" w:hAnsiTheme="majorHAnsi" w:cstheme="majorBidi"/>
      <w:i/>
      <w:iCs/>
      <w:color w:val="272727" w:themeColor="text1" w:themeTint="D8"/>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4DF9"/>
    <w:rPr>
      <w:rFonts w:ascii="Gill Sans MT" w:eastAsiaTheme="majorEastAsia" w:hAnsi="Gill Sans MT" w:cstheme="majorBidi"/>
      <w:b/>
      <w:color w:val="0070C0"/>
      <w:sz w:val="24"/>
      <w:szCs w:val="32"/>
      <w:lang w:eastAsia="fr-FR"/>
    </w:rPr>
  </w:style>
  <w:style w:type="character" w:customStyle="1" w:styleId="Titre2Car">
    <w:name w:val="Titre 2 Car"/>
    <w:basedOn w:val="Policepardfaut"/>
    <w:link w:val="Titre2"/>
    <w:uiPriority w:val="9"/>
    <w:rsid w:val="004B4604"/>
    <w:rPr>
      <w:rFonts w:ascii="Gill Sans MT" w:eastAsiaTheme="majorEastAsia" w:hAnsi="Gill Sans MT" w:cstheme="majorBidi"/>
      <w:b/>
      <w:bCs/>
      <w:color w:val="C45911" w:themeColor="accent2" w:themeShade="BF"/>
      <w:sz w:val="24"/>
      <w:szCs w:val="26"/>
      <w:lang w:eastAsia="fr-FR"/>
    </w:rPr>
  </w:style>
  <w:style w:type="character" w:customStyle="1" w:styleId="Titre3Car">
    <w:name w:val="Titre 3 Car"/>
    <w:basedOn w:val="Policepardfaut"/>
    <w:link w:val="Titre3"/>
    <w:rsid w:val="00323F19"/>
    <w:rPr>
      <w:rFonts w:ascii="Gill Sans MT" w:eastAsiaTheme="majorEastAsia" w:hAnsi="Gill Sans MT" w:cstheme="majorBidi"/>
      <w:b/>
      <w:bCs/>
      <w:sz w:val="24"/>
      <w:lang w:eastAsia="fr-FR"/>
    </w:rPr>
  </w:style>
  <w:style w:type="character" w:customStyle="1" w:styleId="Titre4Car">
    <w:name w:val="Titre 4 Car"/>
    <w:basedOn w:val="Policepardfaut"/>
    <w:link w:val="Titre4"/>
    <w:uiPriority w:val="9"/>
    <w:rsid w:val="0067322E"/>
    <w:rPr>
      <w:rFonts w:ascii="Gill Sans MT" w:eastAsia="Times New Roman" w:hAnsi="Gill Sans MT" w:cs="Times New Roman"/>
      <w:b/>
      <w:bCs/>
      <w:color w:val="2F5496" w:themeColor="accent5" w:themeShade="BF"/>
      <w:szCs w:val="28"/>
      <w:lang w:eastAsia="fr-FR"/>
    </w:rPr>
  </w:style>
  <w:style w:type="character" w:customStyle="1" w:styleId="Titre5Car">
    <w:name w:val="Titre 5 Car"/>
    <w:basedOn w:val="Policepardfaut"/>
    <w:link w:val="Titre5"/>
    <w:uiPriority w:val="9"/>
    <w:rsid w:val="001E0F1D"/>
    <w:rPr>
      <w:rFonts w:ascii="Gill Sans MT" w:eastAsiaTheme="majorEastAsia" w:hAnsi="Gill Sans MT" w:cstheme="majorBidi"/>
      <w:color w:val="2E74B5" w:themeColor="accent1" w:themeShade="BF"/>
      <w:lang w:eastAsia="fr-FR"/>
    </w:rPr>
  </w:style>
  <w:style w:type="paragraph" w:styleId="Sansinterligne">
    <w:name w:val="No Spacing"/>
    <w:link w:val="SansinterligneCar"/>
    <w:uiPriority w:val="1"/>
    <w:qFormat/>
    <w:rsid w:val="00E6029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60294"/>
    <w:rPr>
      <w:rFonts w:eastAsiaTheme="minorEastAsia"/>
    </w:rPr>
  </w:style>
  <w:style w:type="paragraph" w:styleId="Textedebulles">
    <w:name w:val="Balloon Text"/>
    <w:basedOn w:val="Normal"/>
    <w:link w:val="TextedebullesCar"/>
    <w:uiPriority w:val="99"/>
    <w:semiHidden/>
    <w:unhideWhenUsed/>
    <w:rsid w:val="00E602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0294"/>
    <w:rPr>
      <w:rFonts w:ascii="Tahoma" w:hAnsi="Tahoma" w:cs="Tahoma"/>
      <w:sz w:val="16"/>
      <w:szCs w:val="16"/>
    </w:rPr>
  </w:style>
  <w:style w:type="paragraph" w:styleId="NormalWeb">
    <w:name w:val="Normal (Web)"/>
    <w:basedOn w:val="Normal"/>
    <w:uiPriority w:val="99"/>
    <w:unhideWhenUsed/>
    <w:rsid w:val="00E6029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aliases w:val="References,MCHIP_list paragraph,List Paragraph1,Recommendation,Bullet List,FooterText,Bioforce zListePuce,Lista Colorida - Cor 11"/>
    <w:basedOn w:val="Normal"/>
    <w:link w:val="ParagraphedelisteCar"/>
    <w:uiPriority w:val="34"/>
    <w:qFormat/>
    <w:rsid w:val="00E60294"/>
    <w:pPr>
      <w:spacing w:before="120" w:after="120" w:line="240" w:lineRule="auto"/>
      <w:ind w:left="720"/>
      <w:contextualSpacing/>
    </w:pPr>
    <w:rPr>
      <w:rFonts w:eastAsiaTheme="minorEastAsia"/>
      <w:lang w:eastAsia="fr-FR"/>
    </w:rPr>
  </w:style>
  <w:style w:type="character" w:customStyle="1" w:styleId="ParagraphedelisteCar">
    <w:name w:val="Paragraphe de liste Car"/>
    <w:aliases w:val="References Car,MCHIP_list paragraph Car,List Paragraph1 Car,Recommendation Car,Bullet List Car,FooterText Car,Bioforce zListePuce Car,Lista Colorida - Cor 11 Car"/>
    <w:basedOn w:val="Policepardfaut"/>
    <w:link w:val="Paragraphedeliste"/>
    <w:uiPriority w:val="34"/>
    <w:locked/>
    <w:rsid w:val="00E60294"/>
    <w:rPr>
      <w:rFonts w:eastAsiaTheme="minorEastAsia"/>
      <w:lang w:eastAsia="fr-FR"/>
    </w:rPr>
  </w:style>
  <w:style w:type="paragraph" w:customStyle="1" w:styleId="Default">
    <w:name w:val="Default"/>
    <w:rsid w:val="00E60294"/>
    <w:pPr>
      <w:autoSpaceDE w:val="0"/>
      <w:autoSpaceDN w:val="0"/>
      <w:adjustRightInd w:val="0"/>
      <w:spacing w:before="120" w:after="0" w:line="240" w:lineRule="auto"/>
    </w:pPr>
    <w:rPr>
      <w:rFonts w:ascii="Arial" w:eastAsia="Calibri" w:hAnsi="Arial" w:cs="Arial"/>
      <w:color w:val="000000"/>
      <w:sz w:val="24"/>
      <w:szCs w:val="24"/>
      <w:lang w:eastAsia="fr-FR"/>
    </w:rPr>
  </w:style>
  <w:style w:type="character" w:styleId="Emphaseple">
    <w:name w:val="Subtle Emphasis"/>
    <w:uiPriority w:val="19"/>
    <w:qFormat/>
    <w:rsid w:val="00E60294"/>
    <w:rPr>
      <w:i/>
      <w:iCs/>
      <w:color w:val="808080"/>
    </w:rPr>
  </w:style>
  <w:style w:type="paragraph" w:styleId="Titre">
    <w:name w:val="Title"/>
    <w:basedOn w:val="Normal"/>
    <w:link w:val="TitreCar"/>
    <w:uiPriority w:val="10"/>
    <w:qFormat/>
    <w:rsid w:val="00E60294"/>
    <w:pPr>
      <w:tabs>
        <w:tab w:val="left" w:pos="3600"/>
      </w:tabs>
      <w:autoSpaceDE w:val="0"/>
      <w:autoSpaceDN w:val="0"/>
      <w:adjustRightInd w:val="0"/>
      <w:spacing w:before="120" w:after="0" w:line="240" w:lineRule="auto"/>
      <w:jc w:val="center"/>
    </w:pPr>
    <w:rPr>
      <w:rFonts w:ascii="Palatino Linotype" w:eastAsia="Times New Roman" w:hAnsi="Palatino Linotype" w:cs="Times New Roman"/>
      <w:b/>
      <w:bCs/>
      <w:sz w:val="24"/>
      <w:szCs w:val="24"/>
      <w:lang w:eastAsia="fr-FR"/>
    </w:rPr>
  </w:style>
  <w:style w:type="character" w:customStyle="1" w:styleId="TitreCar">
    <w:name w:val="Titre Car"/>
    <w:basedOn w:val="Policepardfaut"/>
    <w:link w:val="Titre"/>
    <w:uiPriority w:val="10"/>
    <w:rsid w:val="00E60294"/>
    <w:rPr>
      <w:rFonts w:ascii="Palatino Linotype" w:eastAsia="Times New Roman" w:hAnsi="Palatino Linotype" w:cs="Times New Roman"/>
      <w:b/>
      <w:bCs/>
      <w:sz w:val="24"/>
      <w:szCs w:val="24"/>
      <w:lang w:eastAsia="fr-FR"/>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S,fn,ADB,f"/>
    <w:basedOn w:val="Normal"/>
    <w:link w:val="NotedebasdepageCar"/>
    <w:uiPriority w:val="99"/>
    <w:qFormat/>
    <w:rsid w:val="00E60294"/>
    <w:pPr>
      <w:widowControl w:val="0"/>
      <w:spacing w:before="120" w:after="0" w:line="240" w:lineRule="auto"/>
      <w:ind w:left="360"/>
      <w:jc w:val="both"/>
    </w:pPr>
    <w:rPr>
      <w:rFonts w:ascii="Arial" w:eastAsia="Times New Roman" w:hAnsi="Arial" w:cs="Times New Roman"/>
      <w:bCs/>
      <w:sz w:val="20"/>
      <w:szCs w:val="20"/>
      <w:lang w:val="en-GB" w:eastAsia="fr-FR"/>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S Car,fn Car,ADB Car"/>
    <w:basedOn w:val="Policepardfaut"/>
    <w:link w:val="Notedebasdepage"/>
    <w:uiPriority w:val="99"/>
    <w:rsid w:val="00E60294"/>
    <w:rPr>
      <w:rFonts w:ascii="Arial" w:eastAsia="Times New Roman" w:hAnsi="Arial" w:cs="Times New Roman"/>
      <w:bCs/>
      <w:sz w:val="20"/>
      <w:szCs w:val="20"/>
      <w:lang w:val="en-GB" w:eastAsia="fr-FR"/>
    </w:r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w:link w:val="BVIfnrCarCar1Car"/>
    <w:uiPriority w:val="99"/>
    <w:rsid w:val="00E60294"/>
    <w:rPr>
      <w:vertAlign w:val="superscript"/>
    </w:rPr>
  </w:style>
  <w:style w:type="character" w:customStyle="1" w:styleId="hps">
    <w:name w:val="hps"/>
    <w:rsid w:val="00E60294"/>
    <w:rPr>
      <w:rFonts w:ascii="Times New Roman" w:hAnsi="Times New Roman" w:cs="Times New Roman" w:hint="default"/>
    </w:rPr>
  </w:style>
  <w:style w:type="character" w:styleId="Marquedecommentaire">
    <w:name w:val="annotation reference"/>
    <w:unhideWhenUsed/>
    <w:rsid w:val="00E60294"/>
    <w:rPr>
      <w:sz w:val="16"/>
      <w:szCs w:val="16"/>
    </w:rPr>
  </w:style>
  <w:style w:type="paragraph" w:styleId="Commentaire">
    <w:name w:val="annotation text"/>
    <w:basedOn w:val="Normal"/>
    <w:link w:val="CommentaireCar"/>
    <w:uiPriority w:val="99"/>
    <w:unhideWhenUsed/>
    <w:rsid w:val="00E60294"/>
    <w:pPr>
      <w:spacing w:before="120" w:after="120" w:line="240" w:lineRule="auto"/>
    </w:pPr>
    <w:rPr>
      <w:rFonts w:ascii="Calibri" w:eastAsia="Calibri" w:hAnsi="Calibri" w:cs="Times New Roman"/>
      <w:sz w:val="20"/>
      <w:szCs w:val="20"/>
      <w:lang w:eastAsia="fr-FR"/>
    </w:rPr>
  </w:style>
  <w:style w:type="character" w:customStyle="1" w:styleId="CommentaireCar">
    <w:name w:val="Commentaire Car"/>
    <w:basedOn w:val="Policepardfaut"/>
    <w:link w:val="Commentaire"/>
    <w:uiPriority w:val="99"/>
    <w:rsid w:val="00E60294"/>
    <w:rPr>
      <w:rFonts w:ascii="Calibri" w:eastAsia="Calibri" w:hAnsi="Calibri" w:cs="Times New Roman"/>
      <w:sz w:val="20"/>
      <w:szCs w:val="20"/>
      <w:lang w:eastAsia="fr-FR"/>
    </w:rPr>
  </w:style>
  <w:style w:type="paragraph" w:customStyle="1" w:styleId="Default1">
    <w:name w:val="Default1"/>
    <w:basedOn w:val="Default"/>
    <w:next w:val="Default"/>
    <w:uiPriority w:val="99"/>
    <w:rsid w:val="00E60294"/>
    <w:rPr>
      <w:color w:val="auto"/>
    </w:rPr>
  </w:style>
  <w:style w:type="paragraph" w:styleId="Corpsdetexte">
    <w:name w:val="Body Text"/>
    <w:basedOn w:val="Normal"/>
    <w:link w:val="CorpsdetexteCar"/>
    <w:rsid w:val="00E60294"/>
    <w:pPr>
      <w:spacing w:before="120" w:after="0" w:line="240" w:lineRule="auto"/>
      <w:jc w:val="both"/>
    </w:pPr>
    <w:rPr>
      <w:rFonts w:ascii="Arial" w:eastAsia="Times New Roman" w:hAnsi="Arial" w:cs="Arial"/>
      <w:sz w:val="24"/>
      <w:szCs w:val="24"/>
      <w:lang w:eastAsia="fr-FR"/>
    </w:rPr>
  </w:style>
  <w:style w:type="character" w:customStyle="1" w:styleId="CorpsdetexteCar">
    <w:name w:val="Corps de texte Car"/>
    <w:basedOn w:val="Policepardfaut"/>
    <w:link w:val="Corpsdetexte"/>
    <w:rsid w:val="00E60294"/>
    <w:rPr>
      <w:rFonts w:ascii="Arial" w:eastAsia="Times New Roman" w:hAnsi="Arial" w:cs="Arial"/>
      <w:sz w:val="24"/>
      <w:szCs w:val="24"/>
      <w:lang w:eastAsia="fr-FR"/>
    </w:rPr>
  </w:style>
  <w:style w:type="paragraph" w:styleId="Retraitcorpsdetexte3">
    <w:name w:val="Body Text Indent 3"/>
    <w:basedOn w:val="Normal"/>
    <w:link w:val="Retraitcorpsdetexte3Car"/>
    <w:rsid w:val="00E60294"/>
    <w:pPr>
      <w:spacing w:before="120" w:after="120" w:line="240" w:lineRule="auto"/>
      <w:ind w:left="1" w:hanging="1"/>
      <w:jc w:val="both"/>
    </w:pPr>
    <w:rPr>
      <w:rFonts w:ascii="Arial" w:eastAsia="Times New Roman" w:hAnsi="Arial" w:cs="Arial"/>
      <w:sz w:val="24"/>
      <w:szCs w:val="24"/>
      <w:lang w:eastAsia="fr-FR"/>
    </w:rPr>
  </w:style>
  <w:style w:type="character" w:customStyle="1" w:styleId="Retraitcorpsdetexte3Car">
    <w:name w:val="Retrait corps de texte 3 Car"/>
    <w:basedOn w:val="Policepardfaut"/>
    <w:link w:val="Retraitcorpsdetexte3"/>
    <w:rsid w:val="00E60294"/>
    <w:rPr>
      <w:rFonts w:ascii="Arial" w:eastAsia="Times New Roman" w:hAnsi="Arial" w:cs="Arial"/>
      <w:sz w:val="24"/>
      <w:szCs w:val="24"/>
      <w:lang w:eastAsia="fr-FR"/>
    </w:rPr>
  </w:style>
  <w:style w:type="paragraph" w:styleId="Objetducommentaire">
    <w:name w:val="annotation subject"/>
    <w:basedOn w:val="Commentaire"/>
    <w:next w:val="Commentaire"/>
    <w:link w:val="ObjetducommentaireCar"/>
    <w:uiPriority w:val="99"/>
    <w:semiHidden/>
    <w:unhideWhenUsed/>
    <w:rsid w:val="00E60294"/>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E60294"/>
    <w:rPr>
      <w:rFonts w:ascii="Calibri" w:eastAsia="Calibri" w:hAnsi="Calibri" w:cs="Times New Roman"/>
      <w:b/>
      <w:bCs/>
      <w:sz w:val="20"/>
      <w:szCs w:val="20"/>
      <w:lang w:eastAsia="fr-FR"/>
    </w:rPr>
  </w:style>
  <w:style w:type="paragraph" w:styleId="En-tte">
    <w:name w:val="header"/>
    <w:basedOn w:val="Normal"/>
    <w:link w:val="En-tteCar"/>
    <w:unhideWhenUsed/>
    <w:rsid w:val="00E60294"/>
    <w:pPr>
      <w:tabs>
        <w:tab w:val="center" w:pos="4680"/>
        <w:tab w:val="right" w:pos="9360"/>
      </w:tabs>
      <w:spacing w:before="120" w:after="0" w:line="240" w:lineRule="auto"/>
    </w:pPr>
    <w:rPr>
      <w:rFonts w:eastAsiaTheme="minorEastAsia"/>
      <w:lang w:eastAsia="fr-FR"/>
    </w:rPr>
  </w:style>
  <w:style w:type="character" w:customStyle="1" w:styleId="En-tteCar">
    <w:name w:val="En-tête Car"/>
    <w:basedOn w:val="Policepardfaut"/>
    <w:link w:val="En-tte"/>
    <w:rsid w:val="00E60294"/>
    <w:rPr>
      <w:rFonts w:eastAsiaTheme="minorEastAsia"/>
      <w:lang w:eastAsia="fr-FR"/>
    </w:rPr>
  </w:style>
  <w:style w:type="paragraph" w:styleId="Pieddepage">
    <w:name w:val="footer"/>
    <w:aliases w:val="FooterQ"/>
    <w:basedOn w:val="Normal"/>
    <w:link w:val="PieddepageCar"/>
    <w:uiPriority w:val="99"/>
    <w:unhideWhenUsed/>
    <w:rsid w:val="00E60294"/>
    <w:pPr>
      <w:tabs>
        <w:tab w:val="center" w:pos="4680"/>
        <w:tab w:val="right" w:pos="9360"/>
      </w:tabs>
      <w:spacing w:before="120" w:after="0" w:line="240" w:lineRule="auto"/>
    </w:pPr>
    <w:rPr>
      <w:rFonts w:eastAsiaTheme="minorEastAsia"/>
      <w:lang w:eastAsia="fr-FR"/>
    </w:rPr>
  </w:style>
  <w:style w:type="character" w:customStyle="1" w:styleId="PieddepageCar">
    <w:name w:val="Pied de page Car"/>
    <w:aliases w:val="FooterQ Car"/>
    <w:basedOn w:val="Policepardfaut"/>
    <w:link w:val="Pieddepage"/>
    <w:uiPriority w:val="99"/>
    <w:rsid w:val="00E60294"/>
    <w:rPr>
      <w:rFonts w:eastAsiaTheme="minorEastAsia"/>
      <w:lang w:eastAsia="fr-FR"/>
    </w:rPr>
  </w:style>
  <w:style w:type="paragraph" w:styleId="Rvision">
    <w:name w:val="Revision"/>
    <w:hidden/>
    <w:uiPriority w:val="99"/>
    <w:semiHidden/>
    <w:rsid w:val="00E60294"/>
    <w:pPr>
      <w:spacing w:before="120" w:after="0" w:line="240" w:lineRule="auto"/>
    </w:pPr>
    <w:rPr>
      <w:rFonts w:eastAsiaTheme="minorEastAsia"/>
      <w:lang w:eastAsia="fr-FR"/>
    </w:rPr>
  </w:style>
  <w:style w:type="table" w:styleId="Grilledutableau">
    <w:name w:val="Table Grid"/>
    <w:aliases w:val="Table Grid CEPA,notes"/>
    <w:basedOn w:val="TableauNormal"/>
    <w:uiPriority w:val="59"/>
    <w:rsid w:val="00E60294"/>
    <w:pPr>
      <w:spacing w:before="120" w:after="0" w:line="240" w:lineRule="auto"/>
    </w:pPr>
    <w:rPr>
      <w:rFonts w:eastAsiaTheme="minorEastAsia"/>
      <w:lang w:val="en-US"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E60294"/>
    <w:pPr>
      <w:spacing w:before="120" w:after="100" w:line="240" w:lineRule="auto"/>
    </w:pPr>
    <w:rPr>
      <w:rFonts w:eastAsiaTheme="minorEastAsia"/>
      <w:lang w:eastAsia="fr-FR"/>
    </w:rPr>
  </w:style>
  <w:style w:type="paragraph" w:styleId="TM2">
    <w:name w:val="toc 2"/>
    <w:basedOn w:val="Normal"/>
    <w:next w:val="Normal"/>
    <w:autoRedefine/>
    <w:uiPriority w:val="39"/>
    <w:unhideWhenUsed/>
    <w:rsid w:val="00E60294"/>
    <w:pPr>
      <w:spacing w:before="120" w:after="100" w:line="240" w:lineRule="auto"/>
      <w:ind w:left="220"/>
    </w:pPr>
    <w:rPr>
      <w:rFonts w:eastAsiaTheme="minorEastAsia"/>
      <w:lang w:eastAsia="fr-FR"/>
    </w:rPr>
  </w:style>
  <w:style w:type="paragraph" w:styleId="TM3">
    <w:name w:val="toc 3"/>
    <w:basedOn w:val="Normal"/>
    <w:next w:val="Normal"/>
    <w:autoRedefine/>
    <w:uiPriority w:val="39"/>
    <w:unhideWhenUsed/>
    <w:rsid w:val="00E60294"/>
    <w:pPr>
      <w:spacing w:before="120" w:after="100" w:line="240" w:lineRule="auto"/>
      <w:ind w:left="440"/>
    </w:pPr>
    <w:rPr>
      <w:rFonts w:eastAsiaTheme="minorEastAsia"/>
      <w:lang w:eastAsia="fr-FR"/>
    </w:rPr>
  </w:style>
  <w:style w:type="paragraph" w:styleId="TM4">
    <w:name w:val="toc 4"/>
    <w:basedOn w:val="Normal"/>
    <w:next w:val="Normal"/>
    <w:autoRedefine/>
    <w:uiPriority w:val="39"/>
    <w:unhideWhenUsed/>
    <w:rsid w:val="00E60294"/>
    <w:pPr>
      <w:spacing w:before="120" w:after="100" w:line="240" w:lineRule="auto"/>
      <w:ind w:left="660"/>
    </w:pPr>
    <w:rPr>
      <w:rFonts w:eastAsiaTheme="minorEastAsia"/>
      <w:lang w:eastAsia="fr-FR"/>
    </w:rPr>
  </w:style>
  <w:style w:type="paragraph" w:styleId="TM5">
    <w:name w:val="toc 5"/>
    <w:basedOn w:val="Normal"/>
    <w:next w:val="Normal"/>
    <w:autoRedefine/>
    <w:uiPriority w:val="39"/>
    <w:unhideWhenUsed/>
    <w:rsid w:val="00E60294"/>
    <w:pPr>
      <w:spacing w:before="120" w:after="100" w:line="240" w:lineRule="auto"/>
      <w:ind w:left="880"/>
    </w:pPr>
    <w:rPr>
      <w:rFonts w:eastAsiaTheme="minorEastAsia"/>
      <w:lang w:eastAsia="fr-FR"/>
    </w:rPr>
  </w:style>
  <w:style w:type="character" w:styleId="Lienhypertexte">
    <w:name w:val="Hyperlink"/>
    <w:basedOn w:val="Policepardfaut"/>
    <w:uiPriority w:val="99"/>
    <w:unhideWhenUsed/>
    <w:rsid w:val="00E60294"/>
    <w:rPr>
      <w:color w:val="0563C1" w:themeColor="hyperlink"/>
      <w:u w:val="single"/>
    </w:rPr>
  </w:style>
  <w:style w:type="character" w:customStyle="1" w:styleId="Titre6Car">
    <w:name w:val="Titre 6 Car"/>
    <w:basedOn w:val="Policepardfaut"/>
    <w:link w:val="Titre6"/>
    <w:uiPriority w:val="9"/>
    <w:semiHidden/>
    <w:rsid w:val="00431B9D"/>
    <w:rPr>
      <w:rFonts w:asciiTheme="majorHAnsi" w:eastAsiaTheme="majorEastAsia" w:hAnsiTheme="majorHAnsi" w:cstheme="majorBidi"/>
      <w:color w:val="1F4D78" w:themeColor="accent1" w:themeShade="7F"/>
      <w:sz w:val="24"/>
      <w:szCs w:val="24"/>
      <w:lang w:eastAsia="fr-FR"/>
    </w:rPr>
  </w:style>
  <w:style w:type="character" w:customStyle="1" w:styleId="Titre7Car">
    <w:name w:val="Titre 7 Car"/>
    <w:basedOn w:val="Policepardfaut"/>
    <w:link w:val="Titre7"/>
    <w:rsid w:val="00431B9D"/>
    <w:rPr>
      <w:rFonts w:ascii="Times New Roman" w:eastAsia="Times New Roman" w:hAnsi="Times New Roman" w:cs="Times New Roman"/>
      <w:b/>
      <w:sz w:val="36"/>
      <w:szCs w:val="20"/>
      <w:lang w:val="en-GB"/>
    </w:rPr>
  </w:style>
  <w:style w:type="character" w:customStyle="1" w:styleId="Titre8Car">
    <w:name w:val="Titre 8 Car"/>
    <w:basedOn w:val="Policepardfaut"/>
    <w:link w:val="Titre8"/>
    <w:uiPriority w:val="9"/>
    <w:semiHidden/>
    <w:rsid w:val="00431B9D"/>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431B9D"/>
    <w:rPr>
      <w:rFonts w:asciiTheme="majorHAnsi" w:eastAsiaTheme="majorEastAsia" w:hAnsiTheme="majorHAnsi" w:cstheme="majorBidi"/>
      <w:i/>
      <w:iCs/>
      <w:color w:val="272727" w:themeColor="text1" w:themeTint="D8"/>
      <w:sz w:val="21"/>
      <w:szCs w:val="21"/>
      <w:lang w:eastAsia="fr-FR"/>
    </w:rPr>
  </w:style>
  <w:style w:type="paragraph" w:customStyle="1" w:styleId="Paragraphedeliste2">
    <w:name w:val="Paragraphe de liste2"/>
    <w:basedOn w:val="Normal"/>
    <w:uiPriority w:val="34"/>
    <w:qFormat/>
    <w:rsid w:val="00431B9D"/>
    <w:pPr>
      <w:spacing w:after="160" w:line="259" w:lineRule="auto"/>
      <w:ind w:left="720"/>
      <w:contextualSpacing/>
    </w:pPr>
    <w:rPr>
      <w:rFonts w:ascii="Calibri" w:eastAsia="Calibri" w:hAnsi="Calibri" w:cs="Times New Roman"/>
    </w:rPr>
  </w:style>
  <w:style w:type="paragraph" w:styleId="Lgende">
    <w:name w:val="caption"/>
    <w:aliases w:val="Legende"/>
    <w:basedOn w:val="Normal"/>
    <w:next w:val="Normal"/>
    <w:link w:val="LgendeCar"/>
    <w:qFormat/>
    <w:rsid w:val="001B3577"/>
    <w:pPr>
      <w:spacing w:after="0" w:line="240" w:lineRule="auto"/>
      <w:jc w:val="both"/>
    </w:pPr>
    <w:rPr>
      <w:rFonts w:eastAsia="Times New Roman" w:cs="Arial"/>
      <w:i/>
      <w:sz w:val="24"/>
      <w:szCs w:val="20"/>
      <w:lang w:val="fr-BE" w:eastAsia="fr-FR"/>
    </w:rPr>
  </w:style>
  <w:style w:type="character" w:customStyle="1" w:styleId="CarCarCarChar">
    <w:name w:val="Car Car Car Char"/>
    <w:aliases w:val="single space Char,Car Char,Footnote Text Char1 Char Char1,Footnote Text Char Char Char1 Char1,Footnote Text Char1 Char Char Char1 Char1,Footnote Text Char1 Char1 Char Char1,Footnote Text Char Char Char Char Char1"/>
    <w:basedOn w:val="Policepardfaut"/>
    <w:uiPriority w:val="99"/>
    <w:rsid w:val="00431B9D"/>
    <w:rPr>
      <w:rFonts w:ascii="Times New Roman" w:eastAsia="Times New Roman" w:hAnsi="Times New Roman" w:cs="Times New Roman"/>
      <w:sz w:val="20"/>
      <w:szCs w:val="20"/>
      <w:lang w:val="fr-FR" w:eastAsia="fr-FR"/>
    </w:rPr>
  </w:style>
  <w:style w:type="paragraph" w:customStyle="1" w:styleId="yiv7110060597msonormal">
    <w:name w:val="yiv7110060597msonormal"/>
    <w:basedOn w:val="Normal"/>
    <w:rsid w:val="00431B9D"/>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yiv7110060597msolistparagraph">
    <w:name w:val="yiv7110060597msolistparagraph"/>
    <w:basedOn w:val="Normal"/>
    <w:rsid w:val="00431B9D"/>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customStyle="1" w:styleId="LgendeCar">
    <w:name w:val="Légende Car"/>
    <w:aliases w:val="Legende Car"/>
    <w:link w:val="Lgende"/>
    <w:rsid w:val="001B3577"/>
    <w:rPr>
      <w:rFonts w:ascii="Gill Sans MT" w:eastAsia="Times New Roman" w:hAnsi="Gill Sans MT" w:cs="Arial"/>
      <w:i/>
      <w:sz w:val="24"/>
      <w:szCs w:val="20"/>
      <w:lang w:val="fr-BE" w:eastAsia="fr-FR"/>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431B9D"/>
    <w:pPr>
      <w:spacing w:after="160" w:line="240" w:lineRule="exact"/>
      <w:jc w:val="both"/>
    </w:pPr>
    <w:rPr>
      <w:vertAlign w:val="superscript"/>
    </w:rPr>
  </w:style>
  <w:style w:type="paragraph" w:customStyle="1" w:styleId="Corpsdetexte22">
    <w:name w:val="Corps de texte 22"/>
    <w:basedOn w:val="Normal"/>
    <w:rsid w:val="00431B9D"/>
    <w:pPr>
      <w:widowControl w:val="0"/>
      <w:spacing w:after="0" w:line="240" w:lineRule="auto"/>
      <w:jc w:val="both"/>
    </w:pPr>
    <w:rPr>
      <w:rFonts w:ascii="Arial" w:eastAsia="Times New Roman" w:hAnsi="Arial" w:cs="Arial"/>
      <w:sz w:val="24"/>
      <w:szCs w:val="24"/>
      <w:lang w:eastAsia="fr-FR"/>
    </w:rPr>
  </w:style>
  <w:style w:type="numbering" w:customStyle="1" w:styleId="Aucuneliste1">
    <w:name w:val="Aucune liste1"/>
    <w:next w:val="Aucuneliste"/>
    <w:uiPriority w:val="99"/>
    <w:semiHidden/>
    <w:unhideWhenUsed/>
    <w:rsid w:val="00431B9D"/>
  </w:style>
  <w:style w:type="paragraph" w:styleId="Corpsdetexte3">
    <w:name w:val="Body Text 3"/>
    <w:basedOn w:val="Normal"/>
    <w:link w:val="Corpsdetexte3Car"/>
    <w:rsid w:val="00431B9D"/>
    <w:pPr>
      <w:spacing w:after="0" w:line="240" w:lineRule="auto"/>
    </w:pPr>
    <w:rPr>
      <w:rFonts w:ascii="Comic Sans MS" w:eastAsia="Times New Roman" w:hAnsi="Comic Sans MS" w:cs="Times New Roman"/>
      <w:sz w:val="24"/>
      <w:szCs w:val="20"/>
    </w:rPr>
  </w:style>
  <w:style w:type="character" w:customStyle="1" w:styleId="Corpsdetexte3Car">
    <w:name w:val="Corps de texte 3 Car"/>
    <w:basedOn w:val="Policepardfaut"/>
    <w:link w:val="Corpsdetexte3"/>
    <w:rsid w:val="00431B9D"/>
    <w:rPr>
      <w:rFonts w:ascii="Comic Sans MS" w:eastAsia="Times New Roman" w:hAnsi="Comic Sans MS" w:cs="Times New Roman"/>
      <w:sz w:val="24"/>
      <w:szCs w:val="20"/>
    </w:rPr>
  </w:style>
  <w:style w:type="paragraph" w:customStyle="1" w:styleId="Listecouleur-Accent11">
    <w:name w:val="Liste couleur - Accent 11"/>
    <w:basedOn w:val="Normal"/>
    <w:link w:val="Listecouleur-Accent1Car"/>
    <w:uiPriority w:val="34"/>
    <w:qFormat/>
    <w:rsid w:val="00431B9D"/>
    <w:pPr>
      <w:spacing w:after="0" w:line="240" w:lineRule="auto"/>
      <w:ind w:left="720"/>
    </w:pPr>
    <w:rPr>
      <w:rFonts w:ascii="Times New Roman" w:eastAsia="Times New Roman" w:hAnsi="Times New Roman" w:cs="Times New Roman"/>
      <w:sz w:val="24"/>
      <w:szCs w:val="24"/>
      <w:lang w:eastAsia="fr-FR"/>
    </w:rPr>
  </w:style>
  <w:style w:type="paragraph" w:customStyle="1" w:styleId="Corpsdetexte21">
    <w:name w:val="Corps de texte 21"/>
    <w:basedOn w:val="Normal"/>
    <w:rsid w:val="00431B9D"/>
    <w:pPr>
      <w:widowControl w:val="0"/>
      <w:spacing w:after="0" w:line="240" w:lineRule="auto"/>
      <w:jc w:val="both"/>
    </w:pPr>
    <w:rPr>
      <w:rFonts w:ascii="Arial" w:eastAsia="Times New Roman" w:hAnsi="Arial" w:cs="Arial"/>
      <w:sz w:val="24"/>
      <w:szCs w:val="24"/>
      <w:lang w:eastAsia="fr-FR"/>
    </w:rPr>
  </w:style>
  <w:style w:type="paragraph" w:styleId="Corpsdetexte2">
    <w:name w:val="Body Text 2"/>
    <w:basedOn w:val="Normal"/>
    <w:link w:val="Corpsdetexte2Car"/>
    <w:uiPriority w:val="99"/>
    <w:semiHidden/>
    <w:unhideWhenUsed/>
    <w:rsid w:val="00431B9D"/>
    <w:pPr>
      <w:spacing w:after="120" w:line="480" w:lineRule="auto"/>
    </w:pPr>
    <w:rPr>
      <w:rFonts w:ascii="Times New Roman" w:eastAsia="Times New Roman" w:hAnsi="Times New Roman" w:cs="Times New Roman"/>
      <w:sz w:val="20"/>
      <w:szCs w:val="20"/>
      <w:lang w:val="fr-BE" w:eastAsia="fr-FR"/>
    </w:rPr>
  </w:style>
  <w:style w:type="character" w:customStyle="1" w:styleId="Corpsdetexte2Car">
    <w:name w:val="Corps de texte 2 Car"/>
    <w:basedOn w:val="Policepardfaut"/>
    <w:link w:val="Corpsdetexte2"/>
    <w:uiPriority w:val="99"/>
    <w:semiHidden/>
    <w:rsid w:val="00431B9D"/>
    <w:rPr>
      <w:rFonts w:ascii="Times New Roman" w:eastAsia="Times New Roman" w:hAnsi="Times New Roman" w:cs="Times New Roman"/>
      <w:sz w:val="20"/>
      <w:szCs w:val="20"/>
      <w:lang w:val="fr-BE" w:eastAsia="fr-FR"/>
    </w:rPr>
  </w:style>
  <w:style w:type="paragraph" w:customStyle="1" w:styleId="Paragraphedeliste1">
    <w:name w:val="Paragraphe de liste1"/>
    <w:basedOn w:val="Normal"/>
    <w:qFormat/>
    <w:rsid w:val="00431B9D"/>
    <w:pPr>
      <w:ind w:left="720"/>
    </w:pPr>
    <w:rPr>
      <w:rFonts w:ascii="Calibri" w:eastAsia="Calibri" w:hAnsi="Calibri" w:cs="Calibri"/>
    </w:rPr>
  </w:style>
  <w:style w:type="paragraph" w:customStyle="1" w:styleId="Tbstex">
    <w:name w:val="Tbstex"/>
    <w:basedOn w:val="Normal"/>
    <w:qFormat/>
    <w:rsid w:val="00431B9D"/>
    <w:pPr>
      <w:spacing w:before="120" w:line="288" w:lineRule="auto"/>
      <w:jc w:val="both"/>
    </w:pPr>
    <w:rPr>
      <w:rFonts w:ascii="Arial" w:eastAsia="Times New Roman" w:hAnsi="Arial" w:cs="Arial"/>
      <w:szCs w:val="24"/>
      <w:lang w:eastAsia="fr-FR"/>
    </w:rPr>
  </w:style>
  <w:style w:type="paragraph" w:styleId="En-ttedetabledesmatires">
    <w:name w:val="TOC Heading"/>
    <w:basedOn w:val="Titre1"/>
    <w:next w:val="Normal"/>
    <w:uiPriority w:val="39"/>
    <w:unhideWhenUsed/>
    <w:qFormat/>
    <w:rsid w:val="00431B9D"/>
    <w:pPr>
      <w:numPr>
        <w:numId w:val="3"/>
      </w:numPr>
      <w:spacing w:line="259" w:lineRule="auto"/>
      <w:outlineLvl w:val="9"/>
    </w:pPr>
    <w:rPr>
      <w:b w:val="0"/>
      <w:color w:val="auto"/>
    </w:rPr>
  </w:style>
  <w:style w:type="paragraph" w:styleId="Tabledesillustrations">
    <w:name w:val="table of figures"/>
    <w:basedOn w:val="Normal"/>
    <w:next w:val="Normal"/>
    <w:uiPriority w:val="99"/>
    <w:unhideWhenUsed/>
    <w:rsid w:val="00431B9D"/>
    <w:pPr>
      <w:spacing w:after="0" w:line="240" w:lineRule="auto"/>
      <w:ind w:left="400" w:hanging="400"/>
    </w:pPr>
    <w:rPr>
      <w:rFonts w:eastAsia="Times New Roman" w:cs="Times New Roman"/>
      <w:caps/>
      <w:sz w:val="20"/>
      <w:szCs w:val="20"/>
      <w:lang w:val="fr-BE" w:eastAsia="fr-FR"/>
    </w:rPr>
  </w:style>
  <w:style w:type="paragraph" w:customStyle="1" w:styleId="Corpsdetexte1">
    <w:name w:val="Corps de texte1"/>
    <w:rsid w:val="00431B9D"/>
    <w:pPr>
      <w:autoSpaceDE w:val="0"/>
      <w:autoSpaceDN w:val="0"/>
      <w:adjustRightInd w:val="0"/>
      <w:spacing w:after="113" w:line="260" w:lineRule="atLeast"/>
      <w:jc w:val="both"/>
    </w:pPr>
    <w:rPr>
      <w:rFonts w:ascii="NewBskvll BT" w:eastAsia="Times New Roman" w:hAnsi="NewBskvll BT" w:cs="Times New Roman"/>
      <w:color w:val="000000"/>
      <w:sz w:val="21"/>
      <w:szCs w:val="21"/>
      <w:lang w:val="en-US"/>
    </w:rPr>
  </w:style>
  <w:style w:type="character" w:customStyle="1" w:styleId="Listecouleur-Accent1Car">
    <w:name w:val="Liste couleur - Accent 1 Car"/>
    <w:link w:val="Listecouleur-Accent11"/>
    <w:uiPriority w:val="34"/>
    <w:rsid w:val="00431B9D"/>
    <w:rPr>
      <w:rFonts w:ascii="Times New Roman" w:eastAsia="Times New Roman" w:hAnsi="Times New Roman" w:cs="Times New Roman"/>
      <w:sz w:val="24"/>
      <w:szCs w:val="24"/>
      <w:lang w:eastAsia="fr-FR"/>
    </w:rPr>
  </w:style>
  <w:style w:type="paragraph" w:customStyle="1" w:styleId="BodyTextIn">
    <w:name w:val="Body Text In"/>
    <w:basedOn w:val="Normal"/>
    <w:rsid w:val="00431B9D"/>
    <w:pPr>
      <w:widowControl w:val="0"/>
      <w:spacing w:after="0" w:line="240" w:lineRule="auto"/>
      <w:jc w:val="both"/>
    </w:pPr>
    <w:rPr>
      <w:rFonts w:ascii="Goudy" w:eastAsia="Times New Roman" w:hAnsi="Goudy" w:cs="Arial"/>
      <w:snapToGrid w:val="0"/>
      <w:color w:val="000000"/>
      <w:sz w:val="24"/>
      <w:szCs w:val="20"/>
    </w:rPr>
  </w:style>
  <w:style w:type="paragraph" w:customStyle="1" w:styleId="DSRP2">
    <w:name w:val="DSRP2"/>
    <w:basedOn w:val="Normal"/>
    <w:next w:val="Normal"/>
    <w:autoRedefine/>
    <w:rsid w:val="00431B9D"/>
    <w:pPr>
      <w:spacing w:after="0" w:line="240" w:lineRule="auto"/>
      <w:jc w:val="both"/>
    </w:pPr>
    <w:rPr>
      <w:rFonts w:ascii="Arial Narrow" w:eastAsia="Times New Roman" w:hAnsi="Arial Narrow" w:cs="Arial"/>
      <w:b/>
      <w:bCs/>
      <w:sz w:val="24"/>
      <w:szCs w:val="24"/>
      <w:lang w:eastAsia="ar-SA"/>
    </w:rPr>
  </w:style>
  <w:style w:type="character" w:customStyle="1" w:styleId="BodyTextChar1">
    <w:name w:val="Body Text Char1"/>
    <w:rsid w:val="00431B9D"/>
    <w:rPr>
      <w:rFonts w:ascii="Times New Roman" w:eastAsia="Times New Roman" w:hAnsi="Times New Roman" w:cs="Times New Roman"/>
      <w:sz w:val="24"/>
      <w:szCs w:val="24"/>
      <w:lang w:val="fr-FR" w:eastAsia="fr-FR"/>
    </w:rPr>
  </w:style>
  <w:style w:type="table" w:customStyle="1" w:styleId="TableauGrille4-Accentuation61">
    <w:name w:val="Tableau Grille 4 - Accentuation 61"/>
    <w:basedOn w:val="TableauNormal"/>
    <w:uiPriority w:val="49"/>
    <w:rsid w:val="00431B9D"/>
    <w:pPr>
      <w:spacing w:after="0" w:line="240" w:lineRule="auto"/>
    </w:pPr>
    <w:rPr>
      <w:lang w:val="en-GB"/>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M6">
    <w:name w:val="toc 6"/>
    <w:basedOn w:val="Normal"/>
    <w:next w:val="Normal"/>
    <w:autoRedefine/>
    <w:uiPriority w:val="39"/>
    <w:unhideWhenUsed/>
    <w:rsid w:val="00431B9D"/>
    <w:pPr>
      <w:spacing w:after="0" w:line="240" w:lineRule="auto"/>
      <w:ind w:left="960"/>
    </w:pPr>
    <w:rPr>
      <w:rFonts w:eastAsia="Times New Roman" w:cs="Times New Roman"/>
      <w:sz w:val="20"/>
      <w:szCs w:val="20"/>
      <w:lang w:eastAsia="fr-FR"/>
    </w:rPr>
  </w:style>
  <w:style w:type="paragraph" w:styleId="TM7">
    <w:name w:val="toc 7"/>
    <w:basedOn w:val="Normal"/>
    <w:next w:val="Normal"/>
    <w:autoRedefine/>
    <w:uiPriority w:val="39"/>
    <w:unhideWhenUsed/>
    <w:rsid w:val="00431B9D"/>
    <w:pPr>
      <w:spacing w:after="0" w:line="240" w:lineRule="auto"/>
      <w:ind w:left="1200"/>
    </w:pPr>
    <w:rPr>
      <w:rFonts w:eastAsia="Times New Roman" w:cs="Times New Roman"/>
      <w:sz w:val="20"/>
      <w:szCs w:val="20"/>
      <w:lang w:eastAsia="fr-FR"/>
    </w:rPr>
  </w:style>
  <w:style w:type="paragraph" w:styleId="TM8">
    <w:name w:val="toc 8"/>
    <w:basedOn w:val="Normal"/>
    <w:next w:val="Normal"/>
    <w:autoRedefine/>
    <w:uiPriority w:val="39"/>
    <w:unhideWhenUsed/>
    <w:rsid w:val="00431B9D"/>
    <w:pPr>
      <w:spacing w:after="0" w:line="240" w:lineRule="auto"/>
      <w:ind w:left="1440"/>
    </w:pPr>
    <w:rPr>
      <w:rFonts w:eastAsia="Times New Roman" w:cs="Times New Roman"/>
      <w:sz w:val="20"/>
      <w:szCs w:val="20"/>
      <w:lang w:eastAsia="fr-FR"/>
    </w:rPr>
  </w:style>
  <w:style w:type="paragraph" w:styleId="TM9">
    <w:name w:val="toc 9"/>
    <w:basedOn w:val="Normal"/>
    <w:next w:val="Normal"/>
    <w:autoRedefine/>
    <w:uiPriority w:val="39"/>
    <w:unhideWhenUsed/>
    <w:rsid w:val="00431B9D"/>
    <w:pPr>
      <w:spacing w:after="0" w:line="240" w:lineRule="auto"/>
      <w:ind w:left="1680"/>
    </w:pPr>
    <w:rPr>
      <w:rFonts w:eastAsia="Times New Roman" w:cs="Times New Roman"/>
      <w:sz w:val="20"/>
      <w:szCs w:val="20"/>
      <w:lang w:eastAsia="fr-FR"/>
    </w:rPr>
  </w:style>
  <w:style w:type="paragraph" w:styleId="Retraitcorpsdetexte2">
    <w:name w:val="Body Text Indent 2"/>
    <w:basedOn w:val="Normal"/>
    <w:link w:val="Retraitcorpsdetexte2Car"/>
    <w:uiPriority w:val="99"/>
    <w:semiHidden/>
    <w:unhideWhenUsed/>
    <w:rsid w:val="00431B9D"/>
    <w:pPr>
      <w:spacing w:after="120" w:line="480" w:lineRule="auto"/>
      <w:ind w:left="360"/>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semiHidden/>
    <w:rsid w:val="00431B9D"/>
    <w:rPr>
      <w:rFonts w:ascii="Times New Roman" w:eastAsia="Times New Roman" w:hAnsi="Times New Roman" w:cs="Times New Roman"/>
      <w:sz w:val="24"/>
      <w:szCs w:val="24"/>
      <w:lang w:eastAsia="fr-FR"/>
    </w:rPr>
  </w:style>
  <w:style w:type="paragraph" w:customStyle="1" w:styleId="BodyText1">
    <w:name w:val="Body Text1"/>
    <w:rsid w:val="00431B9D"/>
    <w:pPr>
      <w:autoSpaceDE w:val="0"/>
      <w:autoSpaceDN w:val="0"/>
      <w:adjustRightInd w:val="0"/>
      <w:spacing w:after="113" w:line="260" w:lineRule="atLeast"/>
      <w:jc w:val="both"/>
    </w:pPr>
    <w:rPr>
      <w:rFonts w:ascii="NewBskvll BT" w:eastAsia="Times New Roman" w:hAnsi="NewBskvll BT" w:cs="Times New Roman"/>
      <w:color w:val="000000"/>
      <w:sz w:val="21"/>
      <w:szCs w:val="21"/>
      <w:lang w:val="en-US"/>
    </w:rPr>
  </w:style>
  <w:style w:type="character" w:styleId="Lienhypertextesuivivisit">
    <w:name w:val="FollowedHyperlink"/>
    <w:basedOn w:val="Policepardfaut"/>
    <w:uiPriority w:val="99"/>
    <w:semiHidden/>
    <w:unhideWhenUsed/>
    <w:rsid w:val="00431B9D"/>
    <w:rPr>
      <w:color w:val="954F72"/>
      <w:u w:val="single"/>
    </w:rPr>
  </w:style>
  <w:style w:type="paragraph" w:customStyle="1" w:styleId="xl63">
    <w:name w:val="xl63"/>
    <w:basedOn w:val="Normal"/>
    <w:rsid w:val="00431B9D"/>
    <w:pPr>
      <w:spacing w:before="100" w:beforeAutospacing="1" w:after="100" w:afterAutospacing="1" w:line="240" w:lineRule="auto"/>
    </w:pPr>
    <w:rPr>
      <w:rFonts w:eastAsia="Times New Roman" w:cs="Times New Roman"/>
      <w:sz w:val="24"/>
      <w:szCs w:val="24"/>
      <w:lang w:val="en-US"/>
    </w:rPr>
  </w:style>
  <w:style w:type="paragraph" w:customStyle="1" w:styleId="xl64">
    <w:name w:val="xl64"/>
    <w:basedOn w:val="Normal"/>
    <w:rsid w:val="00431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65">
    <w:name w:val="xl65"/>
    <w:basedOn w:val="Normal"/>
    <w:rsid w:val="00431B9D"/>
    <w:pPr>
      <w:pBdr>
        <w:top w:val="single" w:sz="4" w:space="0" w:color="auto"/>
        <w:bottom w:val="single" w:sz="4" w:space="0" w:color="auto"/>
      </w:pBdr>
      <w:shd w:val="clear" w:color="000000" w:fill="D6DCE4"/>
      <w:spacing w:before="100" w:beforeAutospacing="1" w:after="100" w:afterAutospacing="1" w:line="240" w:lineRule="auto"/>
    </w:pPr>
    <w:rPr>
      <w:rFonts w:eastAsia="Times New Roman" w:cs="Times New Roman"/>
      <w:b/>
      <w:bCs/>
      <w:sz w:val="24"/>
      <w:szCs w:val="24"/>
      <w:lang w:val="en-US"/>
    </w:rPr>
  </w:style>
  <w:style w:type="paragraph" w:customStyle="1" w:styleId="xl66">
    <w:name w:val="xl66"/>
    <w:basedOn w:val="Normal"/>
    <w:rsid w:val="00431B9D"/>
    <w:pPr>
      <w:pBdr>
        <w:top w:val="single" w:sz="4" w:space="0" w:color="auto"/>
        <w:left w:val="single" w:sz="8" w:space="0" w:color="auto"/>
        <w:bottom w:val="single" w:sz="4" w:space="0" w:color="auto"/>
      </w:pBdr>
      <w:shd w:val="clear" w:color="000000" w:fill="D6DCE4"/>
      <w:spacing w:before="100" w:beforeAutospacing="1" w:after="100" w:afterAutospacing="1" w:line="240" w:lineRule="auto"/>
    </w:pPr>
    <w:rPr>
      <w:rFonts w:eastAsia="Times New Roman" w:cs="Times New Roman"/>
      <w:b/>
      <w:bCs/>
      <w:sz w:val="24"/>
      <w:szCs w:val="24"/>
      <w:lang w:val="en-US"/>
    </w:rPr>
  </w:style>
  <w:style w:type="paragraph" w:customStyle="1" w:styleId="xl67">
    <w:name w:val="xl67"/>
    <w:basedOn w:val="Normal"/>
    <w:rsid w:val="00431B9D"/>
    <w:pPr>
      <w:pBdr>
        <w:top w:val="single" w:sz="4" w:space="0" w:color="auto"/>
        <w:bottom w:val="single" w:sz="4" w:space="0" w:color="auto"/>
        <w:right w:val="single" w:sz="8" w:space="0" w:color="auto"/>
      </w:pBdr>
      <w:shd w:val="clear" w:color="000000" w:fill="D6DCE4"/>
      <w:spacing w:before="100" w:beforeAutospacing="1" w:after="100" w:afterAutospacing="1" w:line="240" w:lineRule="auto"/>
    </w:pPr>
    <w:rPr>
      <w:rFonts w:eastAsia="Times New Roman" w:cs="Times New Roman"/>
      <w:b/>
      <w:bCs/>
      <w:sz w:val="24"/>
      <w:szCs w:val="24"/>
      <w:lang w:val="en-US"/>
    </w:rPr>
  </w:style>
  <w:style w:type="paragraph" w:customStyle="1" w:styleId="xl68">
    <w:name w:val="xl68"/>
    <w:basedOn w:val="Normal"/>
    <w:rsid w:val="00431B9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69">
    <w:name w:val="xl69"/>
    <w:basedOn w:val="Normal"/>
    <w:rsid w:val="00431B9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 w:val="24"/>
      <w:szCs w:val="24"/>
      <w:lang w:val="en-US"/>
    </w:rPr>
  </w:style>
  <w:style w:type="paragraph" w:customStyle="1" w:styleId="xl70">
    <w:name w:val="xl70"/>
    <w:basedOn w:val="Normal"/>
    <w:rsid w:val="00431B9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1">
    <w:name w:val="xl71"/>
    <w:basedOn w:val="Normal"/>
    <w:rsid w:val="00431B9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2">
    <w:name w:val="xl72"/>
    <w:basedOn w:val="Normal"/>
    <w:rsid w:val="00431B9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s="Times New Roman"/>
      <w:sz w:val="24"/>
      <w:szCs w:val="24"/>
      <w:lang w:val="en-US"/>
    </w:rPr>
  </w:style>
  <w:style w:type="paragraph" w:customStyle="1" w:styleId="xl73">
    <w:name w:val="xl73"/>
    <w:basedOn w:val="Normal"/>
    <w:rsid w:val="00431B9D"/>
    <w:pPr>
      <w:pBdr>
        <w:top w:val="single" w:sz="8"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4">
    <w:name w:val="xl74"/>
    <w:basedOn w:val="Normal"/>
    <w:rsid w:val="00431B9D"/>
    <w:pPr>
      <w:pBdr>
        <w:top w:val="single" w:sz="8"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5">
    <w:name w:val="xl75"/>
    <w:basedOn w:val="Normal"/>
    <w:rsid w:val="00431B9D"/>
    <w:pPr>
      <w:pBdr>
        <w:top w:val="single" w:sz="8"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6">
    <w:name w:val="xl76"/>
    <w:basedOn w:val="Normal"/>
    <w:rsid w:val="00431B9D"/>
    <w:pPr>
      <w:pBdr>
        <w:top w:val="single" w:sz="8"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pPr>
    <w:rPr>
      <w:rFonts w:eastAsia="Times New Roman" w:cs="Times New Roman"/>
      <w:b/>
      <w:bCs/>
      <w:sz w:val="24"/>
      <w:szCs w:val="24"/>
      <w:lang w:val="en-US"/>
    </w:rPr>
  </w:style>
  <w:style w:type="paragraph" w:customStyle="1" w:styleId="xl77">
    <w:name w:val="xl77"/>
    <w:basedOn w:val="Normal"/>
    <w:rsid w:val="00431B9D"/>
    <w:pPr>
      <w:pBdr>
        <w:top w:val="single" w:sz="8" w:space="0" w:color="auto"/>
        <w:left w:val="single" w:sz="4" w:space="0" w:color="auto"/>
        <w:bottom w:val="single" w:sz="4" w:space="0" w:color="auto"/>
        <w:right w:val="single" w:sz="8"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8">
    <w:name w:val="xl78"/>
    <w:basedOn w:val="Normal"/>
    <w:rsid w:val="00431B9D"/>
    <w:pPr>
      <w:pBdr>
        <w:top w:val="single" w:sz="4"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9">
    <w:name w:val="xl79"/>
    <w:basedOn w:val="Normal"/>
    <w:rsid w:val="00431B9D"/>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0">
    <w:name w:val="xl80"/>
    <w:basedOn w:val="Normal"/>
    <w:rsid w:val="00431B9D"/>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1">
    <w:name w:val="xl81"/>
    <w:basedOn w:val="Normal"/>
    <w:rsid w:val="00431B9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2">
    <w:name w:val="xl82"/>
    <w:basedOn w:val="Normal"/>
    <w:rsid w:val="00431B9D"/>
    <w:pPr>
      <w:pBdr>
        <w:top w:val="single" w:sz="4" w:space="0" w:color="auto"/>
        <w:left w:val="single" w:sz="4" w:space="0" w:color="auto"/>
        <w:bottom w:val="single" w:sz="4" w:space="0" w:color="auto"/>
        <w:right w:val="single" w:sz="8"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ColorfulList-Accent13">
    <w:name w:val="Colorful List - Accent 13"/>
    <w:basedOn w:val="Normal"/>
    <w:uiPriority w:val="34"/>
    <w:qFormat/>
    <w:rsid w:val="00290BD5"/>
    <w:pPr>
      <w:spacing w:after="0" w:line="240" w:lineRule="auto"/>
      <w:ind w:left="720"/>
      <w:contextualSpacing/>
    </w:pPr>
    <w:rPr>
      <w:rFonts w:ascii="Arial" w:eastAsia="Times New Roman" w:hAnsi="Arial" w:cs="Times New Roman"/>
      <w:szCs w:val="20"/>
      <w:lang w:eastAsia="fr-FR" w:bidi="fr-FR"/>
    </w:rPr>
  </w:style>
  <w:style w:type="paragraph" w:customStyle="1" w:styleId="font5">
    <w:name w:val="font5"/>
    <w:basedOn w:val="Normal"/>
    <w:rsid w:val="00442D67"/>
    <w:pPr>
      <w:spacing w:before="100" w:beforeAutospacing="1" w:after="100" w:afterAutospacing="1" w:line="240" w:lineRule="auto"/>
    </w:pPr>
    <w:rPr>
      <w:rFonts w:eastAsia="Times New Roman" w:cs="Times New Roman"/>
      <w:color w:val="000000"/>
      <w:lang w:val="en-US"/>
    </w:rPr>
  </w:style>
  <w:style w:type="character" w:customStyle="1" w:styleId="st1">
    <w:name w:val="st1"/>
    <w:basedOn w:val="Policepardfaut"/>
    <w:rsid w:val="0034650F"/>
  </w:style>
  <w:style w:type="paragraph" w:customStyle="1" w:styleId="xl83">
    <w:name w:val="xl83"/>
    <w:basedOn w:val="Normal"/>
    <w:rsid w:val="00C64E1B"/>
    <w:pPr>
      <w:pBdr>
        <w:top w:val="single" w:sz="8" w:space="0" w:color="808080"/>
        <w:bottom w:val="single" w:sz="8" w:space="0" w:color="808080"/>
      </w:pBdr>
      <w:shd w:val="clear" w:color="000000" w:fill="943634"/>
      <w:spacing w:before="100" w:beforeAutospacing="1" w:after="100" w:afterAutospacing="1" w:line="240" w:lineRule="auto"/>
      <w:jc w:val="center"/>
      <w:textAlignment w:val="center"/>
    </w:pPr>
    <w:rPr>
      <w:rFonts w:eastAsia="Times New Roman" w:cs="Times New Roman"/>
      <w:color w:val="FFFFFF"/>
      <w:lang w:val="en-US"/>
    </w:rPr>
  </w:style>
  <w:style w:type="paragraph" w:customStyle="1" w:styleId="xl84">
    <w:name w:val="xl84"/>
    <w:basedOn w:val="Normal"/>
    <w:rsid w:val="00C64E1B"/>
    <w:pPr>
      <w:pBdr>
        <w:top w:val="single" w:sz="8" w:space="0" w:color="808080"/>
        <w:bottom w:val="single" w:sz="8" w:space="0" w:color="808080"/>
        <w:right w:val="single" w:sz="8" w:space="0" w:color="808080"/>
      </w:pBdr>
      <w:shd w:val="clear" w:color="000000" w:fill="943634"/>
      <w:spacing w:before="100" w:beforeAutospacing="1" w:after="100" w:afterAutospacing="1" w:line="240" w:lineRule="auto"/>
      <w:jc w:val="center"/>
      <w:textAlignment w:val="center"/>
    </w:pPr>
    <w:rPr>
      <w:rFonts w:eastAsia="Times New Roman" w:cs="Times New Roman"/>
      <w:color w:val="FFFFFF"/>
      <w:lang w:val="en-US"/>
    </w:rPr>
  </w:style>
  <w:style w:type="paragraph" w:customStyle="1" w:styleId="xl85">
    <w:name w:val="xl85"/>
    <w:basedOn w:val="Normal"/>
    <w:rsid w:val="00C64E1B"/>
    <w:pPr>
      <w:pBdr>
        <w:top w:val="single" w:sz="8" w:space="0" w:color="808080"/>
        <w:left w:val="single" w:sz="8" w:space="0" w:color="808080"/>
        <w:bottom w:val="single" w:sz="8" w:space="0" w:color="808080"/>
        <w:right w:val="single" w:sz="8" w:space="0" w:color="808080"/>
      </w:pBdr>
      <w:shd w:val="clear" w:color="000000" w:fill="EEECE1"/>
      <w:spacing w:before="100" w:beforeAutospacing="1" w:after="100" w:afterAutospacing="1" w:line="240" w:lineRule="auto"/>
      <w:textAlignment w:val="center"/>
    </w:pPr>
    <w:rPr>
      <w:rFonts w:eastAsia="Times New Roman" w:cs="Times New Roman"/>
      <w:b/>
      <w:bCs/>
      <w:color w:val="000000"/>
      <w:lang w:val="en-US"/>
    </w:rPr>
  </w:style>
  <w:style w:type="paragraph" w:customStyle="1" w:styleId="Sub-titles">
    <w:name w:val="Sub-titles"/>
    <w:basedOn w:val="Normal"/>
    <w:qFormat/>
    <w:rsid w:val="001F6530"/>
    <w:pPr>
      <w:spacing w:after="60" w:line="280" w:lineRule="atLeast"/>
    </w:pPr>
    <w:rPr>
      <w:rFonts w:asciiTheme="minorHAnsi" w:hAnsiTheme="minorHAnsi"/>
      <w:b/>
      <w:color w:val="FFC000" w:themeColor="accent4"/>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3F7"/>
    <w:pPr>
      <w:spacing w:after="200" w:line="276" w:lineRule="auto"/>
    </w:pPr>
    <w:rPr>
      <w:rFonts w:ascii="Gill Sans MT" w:hAnsi="Gill Sans MT"/>
    </w:rPr>
  </w:style>
  <w:style w:type="paragraph" w:styleId="Titre1">
    <w:name w:val="heading 1"/>
    <w:basedOn w:val="Normal"/>
    <w:next w:val="Normal"/>
    <w:link w:val="Titre1Car"/>
    <w:uiPriority w:val="9"/>
    <w:qFormat/>
    <w:rsid w:val="003D4DF9"/>
    <w:pPr>
      <w:keepNext/>
      <w:keepLines/>
      <w:numPr>
        <w:numId w:val="25"/>
      </w:numPr>
      <w:pBdr>
        <w:bottom w:val="single" w:sz="2" w:space="1" w:color="C45911" w:themeColor="accent2" w:themeShade="BF"/>
        <w:right w:val="single" w:sz="48" w:space="4" w:color="C45911" w:themeColor="accent2" w:themeShade="BF"/>
      </w:pBdr>
      <w:spacing w:before="240" w:after="0" w:line="240" w:lineRule="auto"/>
      <w:outlineLvl w:val="0"/>
    </w:pPr>
    <w:rPr>
      <w:rFonts w:eastAsiaTheme="majorEastAsia" w:cstheme="majorBidi"/>
      <w:b/>
      <w:color w:val="0070C0"/>
      <w:sz w:val="24"/>
      <w:szCs w:val="32"/>
      <w:lang w:eastAsia="fr-FR"/>
    </w:rPr>
  </w:style>
  <w:style w:type="paragraph" w:styleId="Titre2">
    <w:name w:val="heading 2"/>
    <w:basedOn w:val="Normal"/>
    <w:next w:val="Normal"/>
    <w:link w:val="Titre2Car"/>
    <w:uiPriority w:val="9"/>
    <w:unhideWhenUsed/>
    <w:qFormat/>
    <w:rsid w:val="004B4604"/>
    <w:pPr>
      <w:keepNext/>
      <w:keepLines/>
      <w:numPr>
        <w:ilvl w:val="1"/>
        <w:numId w:val="25"/>
      </w:numPr>
      <w:spacing w:before="200" w:after="0" w:line="240" w:lineRule="auto"/>
      <w:outlineLvl w:val="1"/>
    </w:pPr>
    <w:rPr>
      <w:rFonts w:eastAsiaTheme="majorEastAsia" w:cstheme="majorBidi"/>
      <w:b/>
      <w:bCs/>
      <w:color w:val="C45911" w:themeColor="accent2" w:themeShade="BF"/>
      <w:sz w:val="24"/>
      <w:szCs w:val="26"/>
      <w:lang w:eastAsia="fr-FR"/>
    </w:rPr>
  </w:style>
  <w:style w:type="paragraph" w:styleId="Titre3">
    <w:name w:val="heading 3"/>
    <w:basedOn w:val="Normal"/>
    <w:next w:val="Normal"/>
    <w:link w:val="Titre3Car"/>
    <w:unhideWhenUsed/>
    <w:qFormat/>
    <w:rsid w:val="00323F19"/>
    <w:pPr>
      <w:keepNext/>
      <w:keepLines/>
      <w:numPr>
        <w:ilvl w:val="2"/>
        <w:numId w:val="25"/>
      </w:numPr>
      <w:spacing w:before="200" w:after="0" w:line="240" w:lineRule="auto"/>
      <w:outlineLvl w:val="2"/>
    </w:pPr>
    <w:rPr>
      <w:rFonts w:eastAsiaTheme="majorEastAsia" w:cstheme="majorBidi"/>
      <w:b/>
      <w:bCs/>
      <w:sz w:val="24"/>
      <w:lang w:eastAsia="fr-FR"/>
    </w:rPr>
  </w:style>
  <w:style w:type="paragraph" w:styleId="Titre4">
    <w:name w:val="heading 4"/>
    <w:basedOn w:val="Normal"/>
    <w:next w:val="Normal"/>
    <w:link w:val="Titre4Car"/>
    <w:uiPriority w:val="9"/>
    <w:unhideWhenUsed/>
    <w:qFormat/>
    <w:rsid w:val="0067322E"/>
    <w:pPr>
      <w:keepNext/>
      <w:numPr>
        <w:ilvl w:val="3"/>
        <w:numId w:val="25"/>
      </w:numPr>
      <w:spacing w:before="240" w:after="60" w:line="240" w:lineRule="auto"/>
      <w:outlineLvl w:val="3"/>
    </w:pPr>
    <w:rPr>
      <w:rFonts w:eastAsia="Times New Roman" w:cs="Times New Roman"/>
      <w:b/>
      <w:bCs/>
      <w:color w:val="2F5496" w:themeColor="accent5" w:themeShade="BF"/>
      <w:szCs w:val="28"/>
      <w:lang w:eastAsia="fr-FR"/>
    </w:rPr>
  </w:style>
  <w:style w:type="paragraph" w:styleId="Titre5">
    <w:name w:val="heading 5"/>
    <w:basedOn w:val="Normal"/>
    <w:next w:val="Normal"/>
    <w:link w:val="Titre5Car"/>
    <w:uiPriority w:val="9"/>
    <w:unhideWhenUsed/>
    <w:qFormat/>
    <w:rsid w:val="001E0F1D"/>
    <w:pPr>
      <w:keepNext/>
      <w:keepLines/>
      <w:numPr>
        <w:ilvl w:val="4"/>
        <w:numId w:val="25"/>
      </w:numPr>
      <w:spacing w:before="200" w:after="0" w:line="240" w:lineRule="auto"/>
      <w:outlineLvl w:val="4"/>
    </w:pPr>
    <w:rPr>
      <w:rFonts w:eastAsiaTheme="majorEastAsia" w:cstheme="majorBidi"/>
      <w:color w:val="2E74B5" w:themeColor="accent1" w:themeShade="BF"/>
      <w:lang w:eastAsia="fr-FR"/>
    </w:rPr>
  </w:style>
  <w:style w:type="paragraph" w:styleId="Titre6">
    <w:name w:val="heading 6"/>
    <w:basedOn w:val="Normal"/>
    <w:next w:val="Normal"/>
    <w:link w:val="Titre6Car"/>
    <w:uiPriority w:val="9"/>
    <w:semiHidden/>
    <w:unhideWhenUsed/>
    <w:qFormat/>
    <w:rsid w:val="00431B9D"/>
    <w:pPr>
      <w:keepNext/>
      <w:keepLines/>
      <w:numPr>
        <w:ilvl w:val="5"/>
        <w:numId w:val="25"/>
      </w:numPr>
      <w:spacing w:before="40" w:after="0" w:line="240" w:lineRule="auto"/>
      <w:outlineLvl w:val="5"/>
    </w:pPr>
    <w:rPr>
      <w:rFonts w:asciiTheme="majorHAnsi" w:eastAsiaTheme="majorEastAsia" w:hAnsiTheme="majorHAnsi" w:cstheme="majorBidi"/>
      <w:color w:val="1F4D78" w:themeColor="accent1" w:themeShade="7F"/>
      <w:sz w:val="24"/>
      <w:szCs w:val="24"/>
      <w:lang w:eastAsia="fr-FR"/>
    </w:rPr>
  </w:style>
  <w:style w:type="paragraph" w:styleId="Titre7">
    <w:name w:val="heading 7"/>
    <w:basedOn w:val="Normal"/>
    <w:next w:val="Normal"/>
    <w:link w:val="Titre7Car"/>
    <w:qFormat/>
    <w:rsid w:val="00431B9D"/>
    <w:pPr>
      <w:keepNext/>
      <w:numPr>
        <w:ilvl w:val="6"/>
        <w:numId w:val="25"/>
      </w:numPr>
      <w:spacing w:after="0" w:line="240" w:lineRule="auto"/>
      <w:jc w:val="center"/>
      <w:outlineLvl w:val="6"/>
    </w:pPr>
    <w:rPr>
      <w:rFonts w:ascii="Times New Roman" w:eastAsia="Times New Roman" w:hAnsi="Times New Roman" w:cs="Times New Roman"/>
      <w:b/>
      <w:sz w:val="36"/>
      <w:szCs w:val="20"/>
      <w:lang w:val="en-GB"/>
    </w:rPr>
  </w:style>
  <w:style w:type="paragraph" w:styleId="Titre8">
    <w:name w:val="heading 8"/>
    <w:basedOn w:val="Normal"/>
    <w:next w:val="Normal"/>
    <w:link w:val="Titre8Car"/>
    <w:uiPriority w:val="9"/>
    <w:semiHidden/>
    <w:unhideWhenUsed/>
    <w:qFormat/>
    <w:rsid w:val="00431B9D"/>
    <w:pPr>
      <w:keepNext/>
      <w:keepLines/>
      <w:numPr>
        <w:ilvl w:val="7"/>
        <w:numId w:val="25"/>
      </w:numPr>
      <w:spacing w:before="40" w:after="0" w:line="240" w:lineRule="auto"/>
      <w:outlineLvl w:val="7"/>
    </w:pPr>
    <w:rPr>
      <w:rFonts w:asciiTheme="majorHAnsi" w:eastAsiaTheme="majorEastAsia" w:hAnsiTheme="majorHAnsi" w:cstheme="majorBidi"/>
      <w:color w:val="272727" w:themeColor="text1" w:themeTint="D8"/>
      <w:sz w:val="21"/>
      <w:szCs w:val="21"/>
      <w:lang w:eastAsia="fr-FR"/>
    </w:rPr>
  </w:style>
  <w:style w:type="paragraph" w:styleId="Titre9">
    <w:name w:val="heading 9"/>
    <w:basedOn w:val="Normal"/>
    <w:next w:val="Normal"/>
    <w:link w:val="Titre9Car"/>
    <w:uiPriority w:val="9"/>
    <w:semiHidden/>
    <w:unhideWhenUsed/>
    <w:qFormat/>
    <w:rsid w:val="00431B9D"/>
    <w:pPr>
      <w:keepNext/>
      <w:keepLines/>
      <w:numPr>
        <w:ilvl w:val="8"/>
        <w:numId w:val="25"/>
      </w:numPr>
      <w:spacing w:before="40" w:after="0" w:line="240" w:lineRule="auto"/>
      <w:outlineLvl w:val="8"/>
    </w:pPr>
    <w:rPr>
      <w:rFonts w:asciiTheme="majorHAnsi" w:eastAsiaTheme="majorEastAsia" w:hAnsiTheme="majorHAnsi" w:cstheme="majorBidi"/>
      <w:i/>
      <w:iCs/>
      <w:color w:val="272727" w:themeColor="text1" w:themeTint="D8"/>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4DF9"/>
    <w:rPr>
      <w:rFonts w:ascii="Gill Sans MT" w:eastAsiaTheme="majorEastAsia" w:hAnsi="Gill Sans MT" w:cstheme="majorBidi"/>
      <w:b/>
      <w:color w:val="0070C0"/>
      <w:sz w:val="24"/>
      <w:szCs w:val="32"/>
      <w:lang w:eastAsia="fr-FR"/>
    </w:rPr>
  </w:style>
  <w:style w:type="character" w:customStyle="1" w:styleId="Titre2Car">
    <w:name w:val="Titre 2 Car"/>
    <w:basedOn w:val="Policepardfaut"/>
    <w:link w:val="Titre2"/>
    <w:uiPriority w:val="9"/>
    <w:rsid w:val="004B4604"/>
    <w:rPr>
      <w:rFonts w:ascii="Gill Sans MT" w:eastAsiaTheme="majorEastAsia" w:hAnsi="Gill Sans MT" w:cstheme="majorBidi"/>
      <w:b/>
      <w:bCs/>
      <w:color w:val="C45911" w:themeColor="accent2" w:themeShade="BF"/>
      <w:sz w:val="24"/>
      <w:szCs w:val="26"/>
      <w:lang w:eastAsia="fr-FR"/>
    </w:rPr>
  </w:style>
  <w:style w:type="character" w:customStyle="1" w:styleId="Titre3Car">
    <w:name w:val="Titre 3 Car"/>
    <w:basedOn w:val="Policepardfaut"/>
    <w:link w:val="Titre3"/>
    <w:rsid w:val="00323F19"/>
    <w:rPr>
      <w:rFonts w:ascii="Gill Sans MT" w:eastAsiaTheme="majorEastAsia" w:hAnsi="Gill Sans MT" w:cstheme="majorBidi"/>
      <w:b/>
      <w:bCs/>
      <w:sz w:val="24"/>
      <w:lang w:eastAsia="fr-FR"/>
    </w:rPr>
  </w:style>
  <w:style w:type="character" w:customStyle="1" w:styleId="Titre4Car">
    <w:name w:val="Titre 4 Car"/>
    <w:basedOn w:val="Policepardfaut"/>
    <w:link w:val="Titre4"/>
    <w:uiPriority w:val="9"/>
    <w:rsid w:val="0067322E"/>
    <w:rPr>
      <w:rFonts w:ascii="Gill Sans MT" w:eastAsia="Times New Roman" w:hAnsi="Gill Sans MT" w:cs="Times New Roman"/>
      <w:b/>
      <w:bCs/>
      <w:color w:val="2F5496" w:themeColor="accent5" w:themeShade="BF"/>
      <w:szCs w:val="28"/>
      <w:lang w:eastAsia="fr-FR"/>
    </w:rPr>
  </w:style>
  <w:style w:type="character" w:customStyle="1" w:styleId="Titre5Car">
    <w:name w:val="Titre 5 Car"/>
    <w:basedOn w:val="Policepardfaut"/>
    <w:link w:val="Titre5"/>
    <w:uiPriority w:val="9"/>
    <w:rsid w:val="001E0F1D"/>
    <w:rPr>
      <w:rFonts w:ascii="Gill Sans MT" w:eastAsiaTheme="majorEastAsia" w:hAnsi="Gill Sans MT" w:cstheme="majorBidi"/>
      <w:color w:val="2E74B5" w:themeColor="accent1" w:themeShade="BF"/>
      <w:lang w:eastAsia="fr-FR"/>
    </w:rPr>
  </w:style>
  <w:style w:type="paragraph" w:styleId="Sansinterligne">
    <w:name w:val="No Spacing"/>
    <w:link w:val="SansinterligneCar"/>
    <w:uiPriority w:val="1"/>
    <w:qFormat/>
    <w:rsid w:val="00E6029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60294"/>
    <w:rPr>
      <w:rFonts w:eastAsiaTheme="minorEastAsia"/>
    </w:rPr>
  </w:style>
  <w:style w:type="paragraph" w:styleId="Textedebulles">
    <w:name w:val="Balloon Text"/>
    <w:basedOn w:val="Normal"/>
    <w:link w:val="TextedebullesCar"/>
    <w:uiPriority w:val="99"/>
    <w:semiHidden/>
    <w:unhideWhenUsed/>
    <w:rsid w:val="00E602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0294"/>
    <w:rPr>
      <w:rFonts w:ascii="Tahoma" w:hAnsi="Tahoma" w:cs="Tahoma"/>
      <w:sz w:val="16"/>
      <w:szCs w:val="16"/>
    </w:rPr>
  </w:style>
  <w:style w:type="paragraph" w:styleId="NormalWeb">
    <w:name w:val="Normal (Web)"/>
    <w:basedOn w:val="Normal"/>
    <w:uiPriority w:val="99"/>
    <w:unhideWhenUsed/>
    <w:rsid w:val="00E6029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aliases w:val="References,MCHIP_list paragraph,List Paragraph1,Recommendation,Bullet List,FooterText,Bioforce zListePuce,Lista Colorida - Cor 11"/>
    <w:basedOn w:val="Normal"/>
    <w:link w:val="ParagraphedelisteCar"/>
    <w:uiPriority w:val="34"/>
    <w:qFormat/>
    <w:rsid w:val="00E60294"/>
    <w:pPr>
      <w:spacing w:before="120" w:after="120" w:line="240" w:lineRule="auto"/>
      <w:ind w:left="720"/>
      <w:contextualSpacing/>
    </w:pPr>
    <w:rPr>
      <w:rFonts w:eastAsiaTheme="minorEastAsia"/>
      <w:lang w:eastAsia="fr-FR"/>
    </w:rPr>
  </w:style>
  <w:style w:type="character" w:customStyle="1" w:styleId="ParagraphedelisteCar">
    <w:name w:val="Paragraphe de liste Car"/>
    <w:aliases w:val="References Car,MCHIP_list paragraph Car,List Paragraph1 Car,Recommendation Car,Bullet List Car,FooterText Car,Bioforce zListePuce Car,Lista Colorida - Cor 11 Car"/>
    <w:basedOn w:val="Policepardfaut"/>
    <w:link w:val="Paragraphedeliste"/>
    <w:uiPriority w:val="34"/>
    <w:locked/>
    <w:rsid w:val="00E60294"/>
    <w:rPr>
      <w:rFonts w:eastAsiaTheme="minorEastAsia"/>
      <w:lang w:eastAsia="fr-FR"/>
    </w:rPr>
  </w:style>
  <w:style w:type="paragraph" w:customStyle="1" w:styleId="Default">
    <w:name w:val="Default"/>
    <w:rsid w:val="00E60294"/>
    <w:pPr>
      <w:autoSpaceDE w:val="0"/>
      <w:autoSpaceDN w:val="0"/>
      <w:adjustRightInd w:val="0"/>
      <w:spacing w:before="120" w:after="0" w:line="240" w:lineRule="auto"/>
    </w:pPr>
    <w:rPr>
      <w:rFonts w:ascii="Arial" w:eastAsia="Calibri" w:hAnsi="Arial" w:cs="Arial"/>
      <w:color w:val="000000"/>
      <w:sz w:val="24"/>
      <w:szCs w:val="24"/>
      <w:lang w:eastAsia="fr-FR"/>
    </w:rPr>
  </w:style>
  <w:style w:type="character" w:styleId="Emphaseple">
    <w:name w:val="Subtle Emphasis"/>
    <w:uiPriority w:val="19"/>
    <w:qFormat/>
    <w:rsid w:val="00E60294"/>
    <w:rPr>
      <w:i/>
      <w:iCs/>
      <w:color w:val="808080"/>
    </w:rPr>
  </w:style>
  <w:style w:type="paragraph" w:styleId="Titre">
    <w:name w:val="Title"/>
    <w:basedOn w:val="Normal"/>
    <w:link w:val="TitreCar"/>
    <w:uiPriority w:val="10"/>
    <w:qFormat/>
    <w:rsid w:val="00E60294"/>
    <w:pPr>
      <w:tabs>
        <w:tab w:val="left" w:pos="3600"/>
      </w:tabs>
      <w:autoSpaceDE w:val="0"/>
      <w:autoSpaceDN w:val="0"/>
      <w:adjustRightInd w:val="0"/>
      <w:spacing w:before="120" w:after="0" w:line="240" w:lineRule="auto"/>
      <w:jc w:val="center"/>
    </w:pPr>
    <w:rPr>
      <w:rFonts w:ascii="Palatino Linotype" w:eastAsia="Times New Roman" w:hAnsi="Palatino Linotype" w:cs="Times New Roman"/>
      <w:b/>
      <w:bCs/>
      <w:sz w:val="24"/>
      <w:szCs w:val="24"/>
      <w:lang w:eastAsia="fr-FR"/>
    </w:rPr>
  </w:style>
  <w:style w:type="character" w:customStyle="1" w:styleId="TitreCar">
    <w:name w:val="Titre Car"/>
    <w:basedOn w:val="Policepardfaut"/>
    <w:link w:val="Titre"/>
    <w:uiPriority w:val="10"/>
    <w:rsid w:val="00E60294"/>
    <w:rPr>
      <w:rFonts w:ascii="Palatino Linotype" w:eastAsia="Times New Roman" w:hAnsi="Palatino Linotype" w:cs="Times New Roman"/>
      <w:b/>
      <w:bCs/>
      <w:sz w:val="24"/>
      <w:szCs w:val="24"/>
      <w:lang w:eastAsia="fr-FR"/>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S,fn,ADB,f"/>
    <w:basedOn w:val="Normal"/>
    <w:link w:val="NotedebasdepageCar"/>
    <w:uiPriority w:val="99"/>
    <w:qFormat/>
    <w:rsid w:val="00E60294"/>
    <w:pPr>
      <w:widowControl w:val="0"/>
      <w:spacing w:before="120" w:after="0" w:line="240" w:lineRule="auto"/>
      <w:ind w:left="360"/>
      <w:jc w:val="both"/>
    </w:pPr>
    <w:rPr>
      <w:rFonts w:ascii="Arial" w:eastAsia="Times New Roman" w:hAnsi="Arial" w:cs="Times New Roman"/>
      <w:bCs/>
      <w:sz w:val="20"/>
      <w:szCs w:val="20"/>
      <w:lang w:val="en-GB" w:eastAsia="fr-FR"/>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S Car,fn Car,ADB Car"/>
    <w:basedOn w:val="Policepardfaut"/>
    <w:link w:val="Notedebasdepage"/>
    <w:uiPriority w:val="99"/>
    <w:rsid w:val="00E60294"/>
    <w:rPr>
      <w:rFonts w:ascii="Arial" w:eastAsia="Times New Roman" w:hAnsi="Arial" w:cs="Times New Roman"/>
      <w:bCs/>
      <w:sz w:val="20"/>
      <w:szCs w:val="20"/>
      <w:lang w:val="en-GB" w:eastAsia="fr-FR"/>
    </w:r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w:link w:val="BVIfnrCarCar1Car"/>
    <w:uiPriority w:val="99"/>
    <w:rsid w:val="00E60294"/>
    <w:rPr>
      <w:vertAlign w:val="superscript"/>
    </w:rPr>
  </w:style>
  <w:style w:type="character" w:customStyle="1" w:styleId="hps">
    <w:name w:val="hps"/>
    <w:rsid w:val="00E60294"/>
    <w:rPr>
      <w:rFonts w:ascii="Times New Roman" w:hAnsi="Times New Roman" w:cs="Times New Roman" w:hint="default"/>
    </w:rPr>
  </w:style>
  <w:style w:type="character" w:styleId="Marquedecommentaire">
    <w:name w:val="annotation reference"/>
    <w:unhideWhenUsed/>
    <w:rsid w:val="00E60294"/>
    <w:rPr>
      <w:sz w:val="16"/>
      <w:szCs w:val="16"/>
    </w:rPr>
  </w:style>
  <w:style w:type="paragraph" w:styleId="Commentaire">
    <w:name w:val="annotation text"/>
    <w:basedOn w:val="Normal"/>
    <w:link w:val="CommentaireCar"/>
    <w:uiPriority w:val="99"/>
    <w:unhideWhenUsed/>
    <w:rsid w:val="00E60294"/>
    <w:pPr>
      <w:spacing w:before="120" w:after="120" w:line="240" w:lineRule="auto"/>
    </w:pPr>
    <w:rPr>
      <w:rFonts w:ascii="Calibri" w:eastAsia="Calibri" w:hAnsi="Calibri" w:cs="Times New Roman"/>
      <w:sz w:val="20"/>
      <w:szCs w:val="20"/>
      <w:lang w:eastAsia="fr-FR"/>
    </w:rPr>
  </w:style>
  <w:style w:type="character" w:customStyle="1" w:styleId="CommentaireCar">
    <w:name w:val="Commentaire Car"/>
    <w:basedOn w:val="Policepardfaut"/>
    <w:link w:val="Commentaire"/>
    <w:uiPriority w:val="99"/>
    <w:rsid w:val="00E60294"/>
    <w:rPr>
      <w:rFonts w:ascii="Calibri" w:eastAsia="Calibri" w:hAnsi="Calibri" w:cs="Times New Roman"/>
      <w:sz w:val="20"/>
      <w:szCs w:val="20"/>
      <w:lang w:eastAsia="fr-FR"/>
    </w:rPr>
  </w:style>
  <w:style w:type="paragraph" w:customStyle="1" w:styleId="Default1">
    <w:name w:val="Default1"/>
    <w:basedOn w:val="Default"/>
    <w:next w:val="Default"/>
    <w:uiPriority w:val="99"/>
    <w:rsid w:val="00E60294"/>
    <w:rPr>
      <w:color w:val="auto"/>
    </w:rPr>
  </w:style>
  <w:style w:type="paragraph" w:styleId="Corpsdetexte">
    <w:name w:val="Body Text"/>
    <w:basedOn w:val="Normal"/>
    <w:link w:val="CorpsdetexteCar"/>
    <w:rsid w:val="00E60294"/>
    <w:pPr>
      <w:spacing w:before="120" w:after="0" w:line="240" w:lineRule="auto"/>
      <w:jc w:val="both"/>
    </w:pPr>
    <w:rPr>
      <w:rFonts w:ascii="Arial" w:eastAsia="Times New Roman" w:hAnsi="Arial" w:cs="Arial"/>
      <w:sz w:val="24"/>
      <w:szCs w:val="24"/>
      <w:lang w:eastAsia="fr-FR"/>
    </w:rPr>
  </w:style>
  <w:style w:type="character" w:customStyle="1" w:styleId="CorpsdetexteCar">
    <w:name w:val="Corps de texte Car"/>
    <w:basedOn w:val="Policepardfaut"/>
    <w:link w:val="Corpsdetexte"/>
    <w:rsid w:val="00E60294"/>
    <w:rPr>
      <w:rFonts w:ascii="Arial" w:eastAsia="Times New Roman" w:hAnsi="Arial" w:cs="Arial"/>
      <w:sz w:val="24"/>
      <w:szCs w:val="24"/>
      <w:lang w:eastAsia="fr-FR"/>
    </w:rPr>
  </w:style>
  <w:style w:type="paragraph" w:styleId="Retraitcorpsdetexte3">
    <w:name w:val="Body Text Indent 3"/>
    <w:basedOn w:val="Normal"/>
    <w:link w:val="Retraitcorpsdetexte3Car"/>
    <w:rsid w:val="00E60294"/>
    <w:pPr>
      <w:spacing w:before="120" w:after="120" w:line="240" w:lineRule="auto"/>
      <w:ind w:left="1" w:hanging="1"/>
      <w:jc w:val="both"/>
    </w:pPr>
    <w:rPr>
      <w:rFonts w:ascii="Arial" w:eastAsia="Times New Roman" w:hAnsi="Arial" w:cs="Arial"/>
      <w:sz w:val="24"/>
      <w:szCs w:val="24"/>
      <w:lang w:eastAsia="fr-FR"/>
    </w:rPr>
  </w:style>
  <w:style w:type="character" w:customStyle="1" w:styleId="Retraitcorpsdetexte3Car">
    <w:name w:val="Retrait corps de texte 3 Car"/>
    <w:basedOn w:val="Policepardfaut"/>
    <w:link w:val="Retraitcorpsdetexte3"/>
    <w:rsid w:val="00E60294"/>
    <w:rPr>
      <w:rFonts w:ascii="Arial" w:eastAsia="Times New Roman" w:hAnsi="Arial" w:cs="Arial"/>
      <w:sz w:val="24"/>
      <w:szCs w:val="24"/>
      <w:lang w:eastAsia="fr-FR"/>
    </w:rPr>
  </w:style>
  <w:style w:type="paragraph" w:styleId="Objetducommentaire">
    <w:name w:val="annotation subject"/>
    <w:basedOn w:val="Commentaire"/>
    <w:next w:val="Commentaire"/>
    <w:link w:val="ObjetducommentaireCar"/>
    <w:uiPriority w:val="99"/>
    <w:semiHidden/>
    <w:unhideWhenUsed/>
    <w:rsid w:val="00E60294"/>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E60294"/>
    <w:rPr>
      <w:rFonts w:ascii="Calibri" w:eastAsia="Calibri" w:hAnsi="Calibri" w:cs="Times New Roman"/>
      <w:b/>
      <w:bCs/>
      <w:sz w:val="20"/>
      <w:szCs w:val="20"/>
      <w:lang w:eastAsia="fr-FR"/>
    </w:rPr>
  </w:style>
  <w:style w:type="paragraph" w:styleId="En-tte">
    <w:name w:val="header"/>
    <w:basedOn w:val="Normal"/>
    <w:link w:val="En-tteCar"/>
    <w:unhideWhenUsed/>
    <w:rsid w:val="00E60294"/>
    <w:pPr>
      <w:tabs>
        <w:tab w:val="center" w:pos="4680"/>
        <w:tab w:val="right" w:pos="9360"/>
      </w:tabs>
      <w:spacing w:before="120" w:after="0" w:line="240" w:lineRule="auto"/>
    </w:pPr>
    <w:rPr>
      <w:rFonts w:eastAsiaTheme="minorEastAsia"/>
      <w:lang w:eastAsia="fr-FR"/>
    </w:rPr>
  </w:style>
  <w:style w:type="character" w:customStyle="1" w:styleId="En-tteCar">
    <w:name w:val="En-tête Car"/>
    <w:basedOn w:val="Policepardfaut"/>
    <w:link w:val="En-tte"/>
    <w:rsid w:val="00E60294"/>
    <w:rPr>
      <w:rFonts w:eastAsiaTheme="minorEastAsia"/>
      <w:lang w:eastAsia="fr-FR"/>
    </w:rPr>
  </w:style>
  <w:style w:type="paragraph" w:styleId="Pieddepage">
    <w:name w:val="footer"/>
    <w:aliases w:val="FooterQ"/>
    <w:basedOn w:val="Normal"/>
    <w:link w:val="PieddepageCar"/>
    <w:uiPriority w:val="99"/>
    <w:unhideWhenUsed/>
    <w:rsid w:val="00E60294"/>
    <w:pPr>
      <w:tabs>
        <w:tab w:val="center" w:pos="4680"/>
        <w:tab w:val="right" w:pos="9360"/>
      </w:tabs>
      <w:spacing w:before="120" w:after="0" w:line="240" w:lineRule="auto"/>
    </w:pPr>
    <w:rPr>
      <w:rFonts w:eastAsiaTheme="minorEastAsia"/>
      <w:lang w:eastAsia="fr-FR"/>
    </w:rPr>
  </w:style>
  <w:style w:type="character" w:customStyle="1" w:styleId="PieddepageCar">
    <w:name w:val="Pied de page Car"/>
    <w:aliases w:val="FooterQ Car"/>
    <w:basedOn w:val="Policepardfaut"/>
    <w:link w:val="Pieddepage"/>
    <w:uiPriority w:val="99"/>
    <w:rsid w:val="00E60294"/>
    <w:rPr>
      <w:rFonts w:eastAsiaTheme="minorEastAsia"/>
      <w:lang w:eastAsia="fr-FR"/>
    </w:rPr>
  </w:style>
  <w:style w:type="paragraph" w:styleId="Rvision">
    <w:name w:val="Revision"/>
    <w:hidden/>
    <w:uiPriority w:val="99"/>
    <w:semiHidden/>
    <w:rsid w:val="00E60294"/>
    <w:pPr>
      <w:spacing w:before="120" w:after="0" w:line="240" w:lineRule="auto"/>
    </w:pPr>
    <w:rPr>
      <w:rFonts w:eastAsiaTheme="minorEastAsia"/>
      <w:lang w:eastAsia="fr-FR"/>
    </w:rPr>
  </w:style>
  <w:style w:type="table" w:styleId="Grilledutableau">
    <w:name w:val="Table Grid"/>
    <w:aliases w:val="Table Grid CEPA,notes"/>
    <w:basedOn w:val="TableauNormal"/>
    <w:uiPriority w:val="59"/>
    <w:rsid w:val="00E60294"/>
    <w:pPr>
      <w:spacing w:before="120" w:after="0" w:line="240" w:lineRule="auto"/>
    </w:pPr>
    <w:rPr>
      <w:rFonts w:eastAsiaTheme="minorEastAsia"/>
      <w:lang w:val="en-US"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E60294"/>
    <w:pPr>
      <w:spacing w:before="120" w:after="100" w:line="240" w:lineRule="auto"/>
    </w:pPr>
    <w:rPr>
      <w:rFonts w:eastAsiaTheme="minorEastAsia"/>
      <w:lang w:eastAsia="fr-FR"/>
    </w:rPr>
  </w:style>
  <w:style w:type="paragraph" w:styleId="TM2">
    <w:name w:val="toc 2"/>
    <w:basedOn w:val="Normal"/>
    <w:next w:val="Normal"/>
    <w:autoRedefine/>
    <w:uiPriority w:val="39"/>
    <w:unhideWhenUsed/>
    <w:rsid w:val="00E60294"/>
    <w:pPr>
      <w:spacing w:before="120" w:after="100" w:line="240" w:lineRule="auto"/>
      <w:ind w:left="220"/>
    </w:pPr>
    <w:rPr>
      <w:rFonts w:eastAsiaTheme="minorEastAsia"/>
      <w:lang w:eastAsia="fr-FR"/>
    </w:rPr>
  </w:style>
  <w:style w:type="paragraph" w:styleId="TM3">
    <w:name w:val="toc 3"/>
    <w:basedOn w:val="Normal"/>
    <w:next w:val="Normal"/>
    <w:autoRedefine/>
    <w:uiPriority w:val="39"/>
    <w:unhideWhenUsed/>
    <w:rsid w:val="00E60294"/>
    <w:pPr>
      <w:spacing w:before="120" w:after="100" w:line="240" w:lineRule="auto"/>
      <w:ind w:left="440"/>
    </w:pPr>
    <w:rPr>
      <w:rFonts w:eastAsiaTheme="minorEastAsia"/>
      <w:lang w:eastAsia="fr-FR"/>
    </w:rPr>
  </w:style>
  <w:style w:type="paragraph" w:styleId="TM4">
    <w:name w:val="toc 4"/>
    <w:basedOn w:val="Normal"/>
    <w:next w:val="Normal"/>
    <w:autoRedefine/>
    <w:uiPriority w:val="39"/>
    <w:unhideWhenUsed/>
    <w:rsid w:val="00E60294"/>
    <w:pPr>
      <w:spacing w:before="120" w:after="100" w:line="240" w:lineRule="auto"/>
      <w:ind w:left="660"/>
    </w:pPr>
    <w:rPr>
      <w:rFonts w:eastAsiaTheme="minorEastAsia"/>
      <w:lang w:eastAsia="fr-FR"/>
    </w:rPr>
  </w:style>
  <w:style w:type="paragraph" w:styleId="TM5">
    <w:name w:val="toc 5"/>
    <w:basedOn w:val="Normal"/>
    <w:next w:val="Normal"/>
    <w:autoRedefine/>
    <w:uiPriority w:val="39"/>
    <w:unhideWhenUsed/>
    <w:rsid w:val="00E60294"/>
    <w:pPr>
      <w:spacing w:before="120" w:after="100" w:line="240" w:lineRule="auto"/>
      <w:ind w:left="880"/>
    </w:pPr>
    <w:rPr>
      <w:rFonts w:eastAsiaTheme="minorEastAsia"/>
      <w:lang w:eastAsia="fr-FR"/>
    </w:rPr>
  </w:style>
  <w:style w:type="character" w:styleId="Lienhypertexte">
    <w:name w:val="Hyperlink"/>
    <w:basedOn w:val="Policepardfaut"/>
    <w:uiPriority w:val="99"/>
    <w:unhideWhenUsed/>
    <w:rsid w:val="00E60294"/>
    <w:rPr>
      <w:color w:val="0563C1" w:themeColor="hyperlink"/>
      <w:u w:val="single"/>
    </w:rPr>
  </w:style>
  <w:style w:type="character" w:customStyle="1" w:styleId="Titre6Car">
    <w:name w:val="Titre 6 Car"/>
    <w:basedOn w:val="Policepardfaut"/>
    <w:link w:val="Titre6"/>
    <w:uiPriority w:val="9"/>
    <w:semiHidden/>
    <w:rsid w:val="00431B9D"/>
    <w:rPr>
      <w:rFonts w:asciiTheme="majorHAnsi" w:eastAsiaTheme="majorEastAsia" w:hAnsiTheme="majorHAnsi" w:cstheme="majorBidi"/>
      <w:color w:val="1F4D78" w:themeColor="accent1" w:themeShade="7F"/>
      <w:sz w:val="24"/>
      <w:szCs w:val="24"/>
      <w:lang w:eastAsia="fr-FR"/>
    </w:rPr>
  </w:style>
  <w:style w:type="character" w:customStyle="1" w:styleId="Titre7Car">
    <w:name w:val="Titre 7 Car"/>
    <w:basedOn w:val="Policepardfaut"/>
    <w:link w:val="Titre7"/>
    <w:rsid w:val="00431B9D"/>
    <w:rPr>
      <w:rFonts w:ascii="Times New Roman" w:eastAsia="Times New Roman" w:hAnsi="Times New Roman" w:cs="Times New Roman"/>
      <w:b/>
      <w:sz w:val="36"/>
      <w:szCs w:val="20"/>
      <w:lang w:val="en-GB"/>
    </w:rPr>
  </w:style>
  <w:style w:type="character" w:customStyle="1" w:styleId="Titre8Car">
    <w:name w:val="Titre 8 Car"/>
    <w:basedOn w:val="Policepardfaut"/>
    <w:link w:val="Titre8"/>
    <w:uiPriority w:val="9"/>
    <w:semiHidden/>
    <w:rsid w:val="00431B9D"/>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431B9D"/>
    <w:rPr>
      <w:rFonts w:asciiTheme="majorHAnsi" w:eastAsiaTheme="majorEastAsia" w:hAnsiTheme="majorHAnsi" w:cstheme="majorBidi"/>
      <w:i/>
      <w:iCs/>
      <w:color w:val="272727" w:themeColor="text1" w:themeTint="D8"/>
      <w:sz w:val="21"/>
      <w:szCs w:val="21"/>
      <w:lang w:eastAsia="fr-FR"/>
    </w:rPr>
  </w:style>
  <w:style w:type="paragraph" w:customStyle="1" w:styleId="Paragraphedeliste2">
    <w:name w:val="Paragraphe de liste2"/>
    <w:basedOn w:val="Normal"/>
    <w:uiPriority w:val="34"/>
    <w:qFormat/>
    <w:rsid w:val="00431B9D"/>
    <w:pPr>
      <w:spacing w:after="160" w:line="259" w:lineRule="auto"/>
      <w:ind w:left="720"/>
      <w:contextualSpacing/>
    </w:pPr>
    <w:rPr>
      <w:rFonts w:ascii="Calibri" w:eastAsia="Calibri" w:hAnsi="Calibri" w:cs="Times New Roman"/>
    </w:rPr>
  </w:style>
  <w:style w:type="paragraph" w:styleId="Lgende">
    <w:name w:val="caption"/>
    <w:aliases w:val="Legende"/>
    <w:basedOn w:val="Normal"/>
    <w:next w:val="Normal"/>
    <w:link w:val="LgendeCar"/>
    <w:qFormat/>
    <w:rsid w:val="001B3577"/>
    <w:pPr>
      <w:spacing w:after="0" w:line="240" w:lineRule="auto"/>
      <w:jc w:val="both"/>
    </w:pPr>
    <w:rPr>
      <w:rFonts w:eastAsia="Times New Roman" w:cs="Arial"/>
      <w:i/>
      <w:sz w:val="24"/>
      <w:szCs w:val="20"/>
      <w:lang w:val="fr-BE" w:eastAsia="fr-FR"/>
    </w:rPr>
  </w:style>
  <w:style w:type="character" w:customStyle="1" w:styleId="CarCarCarChar">
    <w:name w:val="Car Car Car Char"/>
    <w:aliases w:val="single space Char,Car Char,Footnote Text Char1 Char Char1,Footnote Text Char Char Char1 Char1,Footnote Text Char1 Char Char Char1 Char1,Footnote Text Char1 Char1 Char Char1,Footnote Text Char Char Char Char Char1"/>
    <w:basedOn w:val="Policepardfaut"/>
    <w:uiPriority w:val="99"/>
    <w:rsid w:val="00431B9D"/>
    <w:rPr>
      <w:rFonts w:ascii="Times New Roman" w:eastAsia="Times New Roman" w:hAnsi="Times New Roman" w:cs="Times New Roman"/>
      <w:sz w:val="20"/>
      <w:szCs w:val="20"/>
      <w:lang w:val="fr-FR" w:eastAsia="fr-FR"/>
    </w:rPr>
  </w:style>
  <w:style w:type="paragraph" w:customStyle="1" w:styleId="yiv7110060597msonormal">
    <w:name w:val="yiv7110060597msonormal"/>
    <w:basedOn w:val="Normal"/>
    <w:rsid w:val="00431B9D"/>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yiv7110060597msolistparagraph">
    <w:name w:val="yiv7110060597msolistparagraph"/>
    <w:basedOn w:val="Normal"/>
    <w:rsid w:val="00431B9D"/>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customStyle="1" w:styleId="LgendeCar">
    <w:name w:val="Légende Car"/>
    <w:aliases w:val="Legende Car"/>
    <w:link w:val="Lgende"/>
    <w:rsid w:val="001B3577"/>
    <w:rPr>
      <w:rFonts w:ascii="Gill Sans MT" w:eastAsia="Times New Roman" w:hAnsi="Gill Sans MT" w:cs="Arial"/>
      <w:i/>
      <w:sz w:val="24"/>
      <w:szCs w:val="20"/>
      <w:lang w:val="fr-BE" w:eastAsia="fr-FR"/>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431B9D"/>
    <w:pPr>
      <w:spacing w:after="160" w:line="240" w:lineRule="exact"/>
      <w:jc w:val="both"/>
    </w:pPr>
    <w:rPr>
      <w:vertAlign w:val="superscript"/>
    </w:rPr>
  </w:style>
  <w:style w:type="paragraph" w:customStyle="1" w:styleId="Corpsdetexte22">
    <w:name w:val="Corps de texte 22"/>
    <w:basedOn w:val="Normal"/>
    <w:rsid w:val="00431B9D"/>
    <w:pPr>
      <w:widowControl w:val="0"/>
      <w:spacing w:after="0" w:line="240" w:lineRule="auto"/>
      <w:jc w:val="both"/>
    </w:pPr>
    <w:rPr>
      <w:rFonts w:ascii="Arial" w:eastAsia="Times New Roman" w:hAnsi="Arial" w:cs="Arial"/>
      <w:sz w:val="24"/>
      <w:szCs w:val="24"/>
      <w:lang w:eastAsia="fr-FR"/>
    </w:rPr>
  </w:style>
  <w:style w:type="numbering" w:customStyle="1" w:styleId="Aucuneliste1">
    <w:name w:val="Aucune liste1"/>
    <w:next w:val="Aucuneliste"/>
    <w:uiPriority w:val="99"/>
    <w:semiHidden/>
    <w:unhideWhenUsed/>
    <w:rsid w:val="00431B9D"/>
  </w:style>
  <w:style w:type="paragraph" w:styleId="Corpsdetexte3">
    <w:name w:val="Body Text 3"/>
    <w:basedOn w:val="Normal"/>
    <w:link w:val="Corpsdetexte3Car"/>
    <w:rsid w:val="00431B9D"/>
    <w:pPr>
      <w:spacing w:after="0" w:line="240" w:lineRule="auto"/>
    </w:pPr>
    <w:rPr>
      <w:rFonts w:ascii="Comic Sans MS" w:eastAsia="Times New Roman" w:hAnsi="Comic Sans MS" w:cs="Times New Roman"/>
      <w:sz w:val="24"/>
      <w:szCs w:val="20"/>
    </w:rPr>
  </w:style>
  <w:style w:type="character" w:customStyle="1" w:styleId="Corpsdetexte3Car">
    <w:name w:val="Corps de texte 3 Car"/>
    <w:basedOn w:val="Policepardfaut"/>
    <w:link w:val="Corpsdetexte3"/>
    <w:rsid w:val="00431B9D"/>
    <w:rPr>
      <w:rFonts w:ascii="Comic Sans MS" w:eastAsia="Times New Roman" w:hAnsi="Comic Sans MS" w:cs="Times New Roman"/>
      <w:sz w:val="24"/>
      <w:szCs w:val="20"/>
    </w:rPr>
  </w:style>
  <w:style w:type="paragraph" w:customStyle="1" w:styleId="Listecouleur-Accent11">
    <w:name w:val="Liste couleur - Accent 11"/>
    <w:basedOn w:val="Normal"/>
    <w:link w:val="Listecouleur-Accent1Car"/>
    <w:uiPriority w:val="34"/>
    <w:qFormat/>
    <w:rsid w:val="00431B9D"/>
    <w:pPr>
      <w:spacing w:after="0" w:line="240" w:lineRule="auto"/>
      <w:ind w:left="720"/>
    </w:pPr>
    <w:rPr>
      <w:rFonts w:ascii="Times New Roman" w:eastAsia="Times New Roman" w:hAnsi="Times New Roman" w:cs="Times New Roman"/>
      <w:sz w:val="24"/>
      <w:szCs w:val="24"/>
      <w:lang w:eastAsia="fr-FR"/>
    </w:rPr>
  </w:style>
  <w:style w:type="paragraph" w:customStyle="1" w:styleId="Corpsdetexte21">
    <w:name w:val="Corps de texte 21"/>
    <w:basedOn w:val="Normal"/>
    <w:rsid w:val="00431B9D"/>
    <w:pPr>
      <w:widowControl w:val="0"/>
      <w:spacing w:after="0" w:line="240" w:lineRule="auto"/>
      <w:jc w:val="both"/>
    </w:pPr>
    <w:rPr>
      <w:rFonts w:ascii="Arial" w:eastAsia="Times New Roman" w:hAnsi="Arial" w:cs="Arial"/>
      <w:sz w:val="24"/>
      <w:szCs w:val="24"/>
      <w:lang w:eastAsia="fr-FR"/>
    </w:rPr>
  </w:style>
  <w:style w:type="paragraph" w:styleId="Corpsdetexte2">
    <w:name w:val="Body Text 2"/>
    <w:basedOn w:val="Normal"/>
    <w:link w:val="Corpsdetexte2Car"/>
    <w:uiPriority w:val="99"/>
    <w:semiHidden/>
    <w:unhideWhenUsed/>
    <w:rsid w:val="00431B9D"/>
    <w:pPr>
      <w:spacing w:after="120" w:line="480" w:lineRule="auto"/>
    </w:pPr>
    <w:rPr>
      <w:rFonts w:ascii="Times New Roman" w:eastAsia="Times New Roman" w:hAnsi="Times New Roman" w:cs="Times New Roman"/>
      <w:sz w:val="20"/>
      <w:szCs w:val="20"/>
      <w:lang w:val="fr-BE" w:eastAsia="fr-FR"/>
    </w:rPr>
  </w:style>
  <w:style w:type="character" w:customStyle="1" w:styleId="Corpsdetexte2Car">
    <w:name w:val="Corps de texte 2 Car"/>
    <w:basedOn w:val="Policepardfaut"/>
    <w:link w:val="Corpsdetexte2"/>
    <w:uiPriority w:val="99"/>
    <w:semiHidden/>
    <w:rsid w:val="00431B9D"/>
    <w:rPr>
      <w:rFonts w:ascii="Times New Roman" w:eastAsia="Times New Roman" w:hAnsi="Times New Roman" w:cs="Times New Roman"/>
      <w:sz w:val="20"/>
      <w:szCs w:val="20"/>
      <w:lang w:val="fr-BE" w:eastAsia="fr-FR"/>
    </w:rPr>
  </w:style>
  <w:style w:type="paragraph" w:customStyle="1" w:styleId="Paragraphedeliste1">
    <w:name w:val="Paragraphe de liste1"/>
    <w:basedOn w:val="Normal"/>
    <w:qFormat/>
    <w:rsid w:val="00431B9D"/>
    <w:pPr>
      <w:ind w:left="720"/>
    </w:pPr>
    <w:rPr>
      <w:rFonts w:ascii="Calibri" w:eastAsia="Calibri" w:hAnsi="Calibri" w:cs="Calibri"/>
    </w:rPr>
  </w:style>
  <w:style w:type="paragraph" w:customStyle="1" w:styleId="Tbstex">
    <w:name w:val="Tbstex"/>
    <w:basedOn w:val="Normal"/>
    <w:qFormat/>
    <w:rsid w:val="00431B9D"/>
    <w:pPr>
      <w:spacing w:before="120" w:line="288" w:lineRule="auto"/>
      <w:jc w:val="both"/>
    </w:pPr>
    <w:rPr>
      <w:rFonts w:ascii="Arial" w:eastAsia="Times New Roman" w:hAnsi="Arial" w:cs="Arial"/>
      <w:szCs w:val="24"/>
      <w:lang w:eastAsia="fr-FR"/>
    </w:rPr>
  </w:style>
  <w:style w:type="paragraph" w:styleId="En-ttedetabledesmatires">
    <w:name w:val="TOC Heading"/>
    <w:basedOn w:val="Titre1"/>
    <w:next w:val="Normal"/>
    <w:uiPriority w:val="39"/>
    <w:unhideWhenUsed/>
    <w:qFormat/>
    <w:rsid w:val="00431B9D"/>
    <w:pPr>
      <w:numPr>
        <w:numId w:val="3"/>
      </w:numPr>
      <w:spacing w:line="259" w:lineRule="auto"/>
      <w:outlineLvl w:val="9"/>
    </w:pPr>
    <w:rPr>
      <w:b w:val="0"/>
      <w:color w:val="auto"/>
    </w:rPr>
  </w:style>
  <w:style w:type="paragraph" w:styleId="Tabledesillustrations">
    <w:name w:val="table of figures"/>
    <w:basedOn w:val="Normal"/>
    <w:next w:val="Normal"/>
    <w:uiPriority w:val="99"/>
    <w:unhideWhenUsed/>
    <w:rsid w:val="00431B9D"/>
    <w:pPr>
      <w:spacing w:after="0" w:line="240" w:lineRule="auto"/>
      <w:ind w:left="400" w:hanging="400"/>
    </w:pPr>
    <w:rPr>
      <w:rFonts w:eastAsia="Times New Roman" w:cs="Times New Roman"/>
      <w:caps/>
      <w:sz w:val="20"/>
      <w:szCs w:val="20"/>
      <w:lang w:val="fr-BE" w:eastAsia="fr-FR"/>
    </w:rPr>
  </w:style>
  <w:style w:type="paragraph" w:customStyle="1" w:styleId="Corpsdetexte1">
    <w:name w:val="Corps de texte1"/>
    <w:rsid w:val="00431B9D"/>
    <w:pPr>
      <w:autoSpaceDE w:val="0"/>
      <w:autoSpaceDN w:val="0"/>
      <w:adjustRightInd w:val="0"/>
      <w:spacing w:after="113" w:line="260" w:lineRule="atLeast"/>
      <w:jc w:val="both"/>
    </w:pPr>
    <w:rPr>
      <w:rFonts w:ascii="NewBskvll BT" w:eastAsia="Times New Roman" w:hAnsi="NewBskvll BT" w:cs="Times New Roman"/>
      <w:color w:val="000000"/>
      <w:sz w:val="21"/>
      <w:szCs w:val="21"/>
      <w:lang w:val="en-US"/>
    </w:rPr>
  </w:style>
  <w:style w:type="character" w:customStyle="1" w:styleId="Listecouleur-Accent1Car">
    <w:name w:val="Liste couleur - Accent 1 Car"/>
    <w:link w:val="Listecouleur-Accent11"/>
    <w:uiPriority w:val="34"/>
    <w:rsid w:val="00431B9D"/>
    <w:rPr>
      <w:rFonts w:ascii="Times New Roman" w:eastAsia="Times New Roman" w:hAnsi="Times New Roman" w:cs="Times New Roman"/>
      <w:sz w:val="24"/>
      <w:szCs w:val="24"/>
      <w:lang w:eastAsia="fr-FR"/>
    </w:rPr>
  </w:style>
  <w:style w:type="paragraph" w:customStyle="1" w:styleId="BodyTextIn">
    <w:name w:val="Body Text In"/>
    <w:basedOn w:val="Normal"/>
    <w:rsid w:val="00431B9D"/>
    <w:pPr>
      <w:widowControl w:val="0"/>
      <w:spacing w:after="0" w:line="240" w:lineRule="auto"/>
      <w:jc w:val="both"/>
    </w:pPr>
    <w:rPr>
      <w:rFonts w:ascii="Goudy" w:eastAsia="Times New Roman" w:hAnsi="Goudy" w:cs="Arial"/>
      <w:snapToGrid w:val="0"/>
      <w:color w:val="000000"/>
      <w:sz w:val="24"/>
      <w:szCs w:val="20"/>
    </w:rPr>
  </w:style>
  <w:style w:type="paragraph" w:customStyle="1" w:styleId="DSRP2">
    <w:name w:val="DSRP2"/>
    <w:basedOn w:val="Normal"/>
    <w:next w:val="Normal"/>
    <w:autoRedefine/>
    <w:rsid w:val="00431B9D"/>
    <w:pPr>
      <w:spacing w:after="0" w:line="240" w:lineRule="auto"/>
      <w:jc w:val="both"/>
    </w:pPr>
    <w:rPr>
      <w:rFonts w:ascii="Arial Narrow" w:eastAsia="Times New Roman" w:hAnsi="Arial Narrow" w:cs="Arial"/>
      <w:b/>
      <w:bCs/>
      <w:sz w:val="24"/>
      <w:szCs w:val="24"/>
      <w:lang w:eastAsia="ar-SA"/>
    </w:rPr>
  </w:style>
  <w:style w:type="character" w:customStyle="1" w:styleId="BodyTextChar1">
    <w:name w:val="Body Text Char1"/>
    <w:rsid w:val="00431B9D"/>
    <w:rPr>
      <w:rFonts w:ascii="Times New Roman" w:eastAsia="Times New Roman" w:hAnsi="Times New Roman" w:cs="Times New Roman"/>
      <w:sz w:val="24"/>
      <w:szCs w:val="24"/>
      <w:lang w:val="fr-FR" w:eastAsia="fr-FR"/>
    </w:rPr>
  </w:style>
  <w:style w:type="table" w:customStyle="1" w:styleId="TableauGrille4-Accentuation61">
    <w:name w:val="Tableau Grille 4 - Accentuation 61"/>
    <w:basedOn w:val="TableauNormal"/>
    <w:uiPriority w:val="49"/>
    <w:rsid w:val="00431B9D"/>
    <w:pPr>
      <w:spacing w:after="0" w:line="240" w:lineRule="auto"/>
    </w:pPr>
    <w:rPr>
      <w:lang w:val="en-GB"/>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M6">
    <w:name w:val="toc 6"/>
    <w:basedOn w:val="Normal"/>
    <w:next w:val="Normal"/>
    <w:autoRedefine/>
    <w:uiPriority w:val="39"/>
    <w:unhideWhenUsed/>
    <w:rsid w:val="00431B9D"/>
    <w:pPr>
      <w:spacing w:after="0" w:line="240" w:lineRule="auto"/>
      <w:ind w:left="960"/>
    </w:pPr>
    <w:rPr>
      <w:rFonts w:eastAsia="Times New Roman" w:cs="Times New Roman"/>
      <w:sz w:val="20"/>
      <w:szCs w:val="20"/>
      <w:lang w:eastAsia="fr-FR"/>
    </w:rPr>
  </w:style>
  <w:style w:type="paragraph" w:styleId="TM7">
    <w:name w:val="toc 7"/>
    <w:basedOn w:val="Normal"/>
    <w:next w:val="Normal"/>
    <w:autoRedefine/>
    <w:uiPriority w:val="39"/>
    <w:unhideWhenUsed/>
    <w:rsid w:val="00431B9D"/>
    <w:pPr>
      <w:spacing w:after="0" w:line="240" w:lineRule="auto"/>
      <w:ind w:left="1200"/>
    </w:pPr>
    <w:rPr>
      <w:rFonts w:eastAsia="Times New Roman" w:cs="Times New Roman"/>
      <w:sz w:val="20"/>
      <w:szCs w:val="20"/>
      <w:lang w:eastAsia="fr-FR"/>
    </w:rPr>
  </w:style>
  <w:style w:type="paragraph" w:styleId="TM8">
    <w:name w:val="toc 8"/>
    <w:basedOn w:val="Normal"/>
    <w:next w:val="Normal"/>
    <w:autoRedefine/>
    <w:uiPriority w:val="39"/>
    <w:unhideWhenUsed/>
    <w:rsid w:val="00431B9D"/>
    <w:pPr>
      <w:spacing w:after="0" w:line="240" w:lineRule="auto"/>
      <w:ind w:left="1440"/>
    </w:pPr>
    <w:rPr>
      <w:rFonts w:eastAsia="Times New Roman" w:cs="Times New Roman"/>
      <w:sz w:val="20"/>
      <w:szCs w:val="20"/>
      <w:lang w:eastAsia="fr-FR"/>
    </w:rPr>
  </w:style>
  <w:style w:type="paragraph" w:styleId="TM9">
    <w:name w:val="toc 9"/>
    <w:basedOn w:val="Normal"/>
    <w:next w:val="Normal"/>
    <w:autoRedefine/>
    <w:uiPriority w:val="39"/>
    <w:unhideWhenUsed/>
    <w:rsid w:val="00431B9D"/>
    <w:pPr>
      <w:spacing w:after="0" w:line="240" w:lineRule="auto"/>
      <w:ind w:left="1680"/>
    </w:pPr>
    <w:rPr>
      <w:rFonts w:eastAsia="Times New Roman" w:cs="Times New Roman"/>
      <w:sz w:val="20"/>
      <w:szCs w:val="20"/>
      <w:lang w:eastAsia="fr-FR"/>
    </w:rPr>
  </w:style>
  <w:style w:type="paragraph" w:styleId="Retraitcorpsdetexte2">
    <w:name w:val="Body Text Indent 2"/>
    <w:basedOn w:val="Normal"/>
    <w:link w:val="Retraitcorpsdetexte2Car"/>
    <w:uiPriority w:val="99"/>
    <w:semiHidden/>
    <w:unhideWhenUsed/>
    <w:rsid w:val="00431B9D"/>
    <w:pPr>
      <w:spacing w:after="120" w:line="480" w:lineRule="auto"/>
      <w:ind w:left="360"/>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semiHidden/>
    <w:rsid w:val="00431B9D"/>
    <w:rPr>
      <w:rFonts w:ascii="Times New Roman" w:eastAsia="Times New Roman" w:hAnsi="Times New Roman" w:cs="Times New Roman"/>
      <w:sz w:val="24"/>
      <w:szCs w:val="24"/>
      <w:lang w:eastAsia="fr-FR"/>
    </w:rPr>
  </w:style>
  <w:style w:type="paragraph" w:customStyle="1" w:styleId="BodyText1">
    <w:name w:val="Body Text1"/>
    <w:rsid w:val="00431B9D"/>
    <w:pPr>
      <w:autoSpaceDE w:val="0"/>
      <w:autoSpaceDN w:val="0"/>
      <w:adjustRightInd w:val="0"/>
      <w:spacing w:after="113" w:line="260" w:lineRule="atLeast"/>
      <w:jc w:val="both"/>
    </w:pPr>
    <w:rPr>
      <w:rFonts w:ascii="NewBskvll BT" w:eastAsia="Times New Roman" w:hAnsi="NewBskvll BT" w:cs="Times New Roman"/>
      <w:color w:val="000000"/>
      <w:sz w:val="21"/>
      <w:szCs w:val="21"/>
      <w:lang w:val="en-US"/>
    </w:rPr>
  </w:style>
  <w:style w:type="character" w:styleId="Lienhypertextesuivivisit">
    <w:name w:val="FollowedHyperlink"/>
    <w:basedOn w:val="Policepardfaut"/>
    <w:uiPriority w:val="99"/>
    <w:semiHidden/>
    <w:unhideWhenUsed/>
    <w:rsid w:val="00431B9D"/>
    <w:rPr>
      <w:color w:val="954F72"/>
      <w:u w:val="single"/>
    </w:rPr>
  </w:style>
  <w:style w:type="paragraph" w:customStyle="1" w:styleId="xl63">
    <w:name w:val="xl63"/>
    <w:basedOn w:val="Normal"/>
    <w:rsid w:val="00431B9D"/>
    <w:pPr>
      <w:spacing w:before="100" w:beforeAutospacing="1" w:after="100" w:afterAutospacing="1" w:line="240" w:lineRule="auto"/>
    </w:pPr>
    <w:rPr>
      <w:rFonts w:eastAsia="Times New Roman" w:cs="Times New Roman"/>
      <w:sz w:val="24"/>
      <w:szCs w:val="24"/>
      <w:lang w:val="en-US"/>
    </w:rPr>
  </w:style>
  <w:style w:type="paragraph" w:customStyle="1" w:styleId="xl64">
    <w:name w:val="xl64"/>
    <w:basedOn w:val="Normal"/>
    <w:rsid w:val="00431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65">
    <w:name w:val="xl65"/>
    <w:basedOn w:val="Normal"/>
    <w:rsid w:val="00431B9D"/>
    <w:pPr>
      <w:pBdr>
        <w:top w:val="single" w:sz="4" w:space="0" w:color="auto"/>
        <w:bottom w:val="single" w:sz="4" w:space="0" w:color="auto"/>
      </w:pBdr>
      <w:shd w:val="clear" w:color="000000" w:fill="D6DCE4"/>
      <w:spacing w:before="100" w:beforeAutospacing="1" w:after="100" w:afterAutospacing="1" w:line="240" w:lineRule="auto"/>
    </w:pPr>
    <w:rPr>
      <w:rFonts w:eastAsia="Times New Roman" w:cs="Times New Roman"/>
      <w:b/>
      <w:bCs/>
      <w:sz w:val="24"/>
      <w:szCs w:val="24"/>
      <w:lang w:val="en-US"/>
    </w:rPr>
  </w:style>
  <w:style w:type="paragraph" w:customStyle="1" w:styleId="xl66">
    <w:name w:val="xl66"/>
    <w:basedOn w:val="Normal"/>
    <w:rsid w:val="00431B9D"/>
    <w:pPr>
      <w:pBdr>
        <w:top w:val="single" w:sz="4" w:space="0" w:color="auto"/>
        <w:left w:val="single" w:sz="8" w:space="0" w:color="auto"/>
        <w:bottom w:val="single" w:sz="4" w:space="0" w:color="auto"/>
      </w:pBdr>
      <w:shd w:val="clear" w:color="000000" w:fill="D6DCE4"/>
      <w:spacing w:before="100" w:beforeAutospacing="1" w:after="100" w:afterAutospacing="1" w:line="240" w:lineRule="auto"/>
    </w:pPr>
    <w:rPr>
      <w:rFonts w:eastAsia="Times New Roman" w:cs="Times New Roman"/>
      <w:b/>
      <w:bCs/>
      <w:sz w:val="24"/>
      <w:szCs w:val="24"/>
      <w:lang w:val="en-US"/>
    </w:rPr>
  </w:style>
  <w:style w:type="paragraph" w:customStyle="1" w:styleId="xl67">
    <w:name w:val="xl67"/>
    <w:basedOn w:val="Normal"/>
    <w:rsid w:val="00431B9D"/>
    <w:pPr>
      <w:pBdr>
        <w:top w:val="single" w:sz="4" w:space="0" w:color="auto"/>
        <w:bottom w:val="single" w:sz="4" w:space="0" w:color="auto"/>
        <w:right w:val="single" w:sz="8" w:space="0" w:color="auto"/>
      </w:pBdr>
      <w:shd w:val="clear" w:color="000000" w:fill="D6DCE4"/>
      <w:spacing w:before="100" w:beforeAutospacing="1" w:after="100" w:afterAutospacing="1" w:line="240" w:lineRule="auto"/>
    </w:pPr>
    <w:rPr>
      <w:rFonts w:eastAsia="Times New Roman" w:cs="Times New Roman"/>
      <w:b/>
      <w:bCs/>
      <w:sz w:val="24"/>
      <w:szCs w:val="24"/>
      <w:lang w:val="en-US"/>
    </w:rPr>
  </w:style>
  <w:style w:type="paragraph" w:customStyle="1" w:styleId="xl68">
    <w:name w:val="xl68"/>
    <w:basedOn w:val="Normal"/>
    <w:rsid w:val="00431B9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69">
    <w:name w:val="xl69"/>
    <w:basedOn w:val="Normal"/>
    <w:rsid w:val="00431B9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 w:val="24"/>
      <w:szCs w:val="24"/>
      <w:lang w:val="en-US"/>
    </w:rPr>
  </w:style>
  <w:style w:type="paragraph" w:customStyle="1" w:styleId="xl70">
    <w:name w:val="xl70"/>
    <w:basedOn w:val="Normal"/>
    <w:rsid w:val="00431B9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1">
    <w:name w:val="xl71"/>
    <w:basedOn w:val="Normal"/>
    <w:rsid w:val="00431B9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2">
    <w:name w:val="xl72"/>
    <w:basedOn w:val="Normal"/>
    <w:rsid w:val="00431B9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s="Times New Roman"/>
      <w:sz w:val="24"/>
      <w:szCs w:val="24"/>
      <w:lang w:val="en-US"/>
    </w:rPr>
  </w:style>
  <w:style w:type="paragraph" w:customStyle="1" w:styleId="xl73">
    <w:name w:val="xl73"/>
    <w:basedOn w:val="Normal"/>
    <w:rsid w:val="00431B9D"/>
    <w:pPr>
      <w:pBdr>
        <w:top w:val="single" w:sz="8"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4">
    <w:name w:val="xl74"/>
    <w:basedOn w:val="Normal"/>
    <w:rsid w:val="00431B9D"/>
    <w:pPr>
      <w:pBdr>
        <w:top w:val="single" w:sz="8"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5">
    <w:name w:val="xl75"/>
    <w:basedOn w:val="Normal"/>
    <w:rsid w:val="00431B9D"/>
    <w:pPr>
      <w:pBdr>
        <w:top w:val="single" w:sz="8"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6">
    <w:name w:val="xl76"/>
    <w:basedOn w:val="Normal"/>
    <w:rsid w:val="00431B9D"/>
    <w:pPr>
      <w:pBdr>
        <w:top w:val="single" w:sz="8"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pPr>
    <w:rPr>
      <w:rFonts w:eastAsia="Times New Roman" w:cs="Times New Roman"/>
      <w:b/>
      <w:bCs/>
      <w:sz w:val="24"/>
      <w:szCs w:val="24"/>
      <w:lang w:val="en-US"/>
    </w:rPr>
  </w:style>
  <w:style w:type="paragraph" w:customStyle="1" w:styleId="xl77">
    <w:name w:val="xl77"/>
    <w:basedOn w:val="Normal"/>
    <w:rsid w:val="00431B9D"/>
    <w:pPr>
      <w:pBdr>
        <w:top w:val="single" w:sz="8" w:space="0" w:color="auto"/>
        <w:left w:val="single" w:sz="4" w:space="0" w:color="auto"/>
        <w:bottom w:val="single" w:sz="4" w:space="0" w:color="auto"/>
        <w:right w:val="single" w:sz="8"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8">
    <w:name w:val="xl78"/>
    <w:basedOn w:val="Normal"/>
    <w:rsid w:val="00431B9D"/>
    <w:pPr>
      <w:pBdr>
        <w:top w:val="single" w:sz="4"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79">
    <w:name w:val="xl79"/>
    <w:basedOn w:val="Normal"/>
    <w:rsid w:val="00431B9D"/>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0">
    <w:name w:val="xl80"/>
    <w:basedOn w:val="Normal"/>
    <w:rsid w:val="00431B9D"/>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1">
    <w:name w:val="xl81"/>
    <w:basedOn w:val="Normal"/>
    <w:rsid w:val="00431B9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2">
    <w:name w:val="xl82"/>
    <w:basedOn w:val="Normal"/>
    <w:rsid w:val="00431B9D"/>
    <w:pPr>
      <w:pBdr>
        <w:top w:val="single" w:sz="4" w:space="0" w:color="auto"/>
        <w:left w:val="single" w:sz="4" w:space="0" w:color="auto"/>
        <w:bottom w:val="single" w:sz="4" w:space="0" w:color="auto"/>
        <w:right w:val="single" w:sz="8" w:space="0" w:color="auto"/>
      </w:pBdr>
      <w:shd w:val="clear" w:color="000000" w:fill="8497B0"/>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ColorfulList-Accent13">
    <w:name w:val="Colorful List - Accent 13"/>
    <w:basedOn w:val="Normal"/>
    <w:uiPriority w:val="34"/>
    <w:qFormat/>
    <w:rsid w:val="00290BD5"/>
    <w:pPr>
      <w:spacing w:after="0" w:line="240" w:lineRule="auto"/>
      <w:ind w:left="720"/>
      <w:contextualSpacing/>
    </w:pPr>
    <w:rPr>
      <w:rFonts w:ascii="Arial" w:eastAsia="Times New Roman" w:hAnsi="Arial" w:cs="Times New Roman"/>
      <w:szCs w:val="20"/>
      <w:lang w:eastAsia="fr-FR" w:bidi="fr-FR"/>
    </w:rPr>
  </w:style>
  <w:style w:type="paragraph" w:customStyle="1" w:styleId="font5">
    <w:name w:val="font5"/>
    <w:basedOn w:val="Normal"/>
    <w:rsid w:val="00442D67"/>
    <w:pPr>
      <w:spacing w:before="100" w:beforeAutospacing="1" w:after="100" w:afterAutospacing="1" w:line="240" w:lineRule="auto"/>
    </w:pPr>
    <w:rPr>
      <w:rFonts w:eastAsia="Times New Roman" w:cs="Times New Roman"/>
      <w:color w:val="000000"/>
      <w:lang w:val="en-US"/>
    </w:rPr>
  </w:style>
  <w:style w:type="character" w:customStyle="1" w:styleId="st1">
    <w:name w:val="st1"/>
    <w:basedOn w:val="Policepardfaut"/>
    <w:rsid w:val="0034650F"/>
  </w:style>
  <w:style w:type="paragraph" w:customStyle="1" w:styleId="xl83">
    <w:name w:val="xl83"/>
    <w:basedOn w:val="Normal"/>
    <w:rsid w:val="00C64E1B"/>
    <w:pPr>
      <w:pBdr>
        <w:top w:val="single" w:sz="8" w:space="0" w:color="808080"/>
        <w:bottom w:val="single" w:sz="8" w:space="0" w:color="808080"/>
      </w:pBdr>
      <w:shd w:val="clear" w:color="000000" w:fill="943634"/>
      <w:spacing w:before="100" w:beforeAutospacing="1" w:after="100" w:afterAutospacing="1" w:line="240" w:lineRule="auto"/>
      <w:jc w:val="center"/>
      <w:textAlignment w:val="center"/>
    </w:pPr>
    <w:rPr>
      <w:rFonts w:eastAsia="Times New Roman" w:cs="Times New Roman"/>
      <w:color w:val="FFFFFF"/>
      <w:lang w:val="en-US"/>
    </w:rPr>
  </w:style>
  <w:style w:type="paragraph" w:customStyle="1" w:styleId="xl84">
    <w:name w:val="xl84"/>
    <w:basedOn w:val="Normal"/>
    <w:rsid w:val="00C64E1B"/>
    <w:pPr>
      <w:pBdr>
        <w:top w:val="single" w:sz="8" w:space="0" w:color="808080"/>
        <w:bottom w:val="single" w:sz="8" w:space="0" w:color="808080"/>
        <w:right w:val="single" w:sz="8" w:space="0" w:color="808080"/>
      </w:pBdr>
      <w:shd w:val="clear" w:color="000000" w:fill="943634"/>
      <w:spacing w:before="100" w:beforeAutospacing="1" w:after="100" w:afterAutospacing="1" w:line="240" w:lineRule="auto"/>
      <w:jc w:val="center"/>
      <w:textAlignment w:val="center"/>
    </w:pPr>
    <w:rPr>
      <w:rFonts w:eastAsia="Times New Roman" w:cs="Times New Roman"/>
      <w:color w:val="FFFFFF"/>
      <w:lang w:val="en-US"/>
    </w:rPr>
  </w:style>
  <w:style w:type="paragraph" w:customStyle="1" w:styleId="xl85">
    <w:name w:val="xl85"/>
    <w:basedOn w:val="Normal"/>
    <w:rsid w:val="00C64E1B"/>
    <w:pPr>
      <w:pBdr>
        <w:top w:val="single" w:sz="8" w:space="0" w:color="808080"/>
        <w:left w:val="single" w:sz="8" w:space="0" w:color="808080"/>
        <w:bottom w:val="single" w:sz="8" w:space="0" w:color="808080"/>
        <w:right w:val="single" w:sz="8" w:space="0" w:color="808080"/>
      </w:pBdr>
      <w:shd w:val="clear" w:color="000000" w:fill="EEECE1"/>
      <w:spacing w:before="100" w:beforeAutospacing="1" w:after="100" w:afterAutospacing="1" w:line="240" w:lineRule="auto"/>
      <w:textAlignment w:val="center"/>
    </w:pPr>
    <w:rPr>
      <w:rFonts w:eastAsia="Times New Roman" w:cs="Times New Roman"/>
      <w:b/>
      <w:bCs/>
      <w:color w:val="000000"/>
      <w:lang w:val="en-US"/>
    </w:rPr>
  </w:style>
  <w:style w:type="paragraph" w:customStyle="1" w:styleId="Sub-titles">
    <w:name w:val="Sub-titles"/>
    <w:basedOn w:val="Normal"/>
    <w:qFormat/>
    <w:rsid w:val="001F6530"/>
    <w:pPr>
      <w:spacing w:after="60" w:line="280" w:lineRule="atLeast"/>
    </w:pPr>
    <w:rPr>
      <w:rFonts w:asciiTheme="minorHAnsi" w:hAnsiTheme="minorHAnsi"/>
      <w:b/>
      <w:color w:val="FFC000" w:themeColor="accent4"/>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8964">
      <w:bodyDiv w:val="1"/>
      <w:marLeft w:val="0"/>
      <w:marRight w:val="0"/>
      <w:marTop w:val="0"/>
      <w:marBottom w:val="0"/>
      <w:divBdr>
        <w:top w:val="none" w:sz="0" w:space="0" w:color="auto"/>
        <w:left w:val="none" w:sz="0" w:space="0" w:color="auto"/>
        <w:bottom w:val="none" w:sz="0" w:space="0" w:color="auto"/>
        <w:right w:val="none" w:sz="0" w:space="0" w:color="auto"/>
      </w:divBdr>
    </w:div>
    <w:div w:id="52702533">
      <w:bodyDiv w:val="1"/>
      <w:marLeft w:val="0"/>
      <w:marRight w:val="0"/>
      <w:marTop w:val="0"/>
      <w:marBottom w:val="0"/>
      <w:divBdr>
        <w:top w:val="none" w:sz="0" w:space="0" w:color="auto"/>
        <w:left w:val="none" w:sz="0" w:space="0" w:color="auto"/>
        <w:bottom w:val="none" w:sz="0" w:space="0" w:color="auto"/>
        <w:right w:val="none" w:sz="0" w:space="0" w:color="auto"/>
      </w:divBdr>
    </w:div>
    <w:div w:id="71977276">
      <w:bodyDiv w:val="1"/>
      <w:marLeft w:val="0"/>
      <w:marRight w:val="0"/>
      <w:marTop w:val="0"/>
      <w:marBottom w:val="0"/>
      <w:divBdr>
        <w:top w:val="none" w:sz="0" w:space="0" w:color="auto"/>
        <w:left w:val="none" w:sz="0" w:space="0" w:color="auto"/>
        <w:bottom w:val="none" w:sz="0" w:space="0" w:color="auto"/>
        <w:right w:val="none" w:sz="0" w:space="0" w:color="auto"/>
      </w:divBdr>
    </w:div>
    <w:div w:id="141704329">
      <w:bodyDiv w:val="1"/>
      <w:marLeft w:val="0"/>
      <w:marRight w:val="0"/>
      <w:marTop w:val="0"/>
      <w:marBottom w:val="0"/>
      <w:divBdr>
        <w:top w:val="none" w:sz="0" w:space="0" w:color="auto"/>
        <w:left w:val="none" w:sz="0" w:space="0" w:color="auto"/>
        <w:bottom w:val="none" w:sz="0" w:space="0" w:color="auto"/>
        <w:right w:val="none" w:sz="0" w:space="0" w:color="auto"/>
      </w:divBdr>
    </w:div>
    <w:div w:id="237440992">
      <w:bodyDiv w:val="1"/>
      <w:marLeft w:val="0"/>
      <w:marRight w:val="0"/>
      <w:marTop w:val="0"/>
      <w:marBottom w:val="0"/>
      <w:divBdr>
        <w:top w:val="none" w:sz="0" w:space="0" w:color="auto"/>
        <w:left w:val="none" w:sz="0" w:space="0" w:color="auto"/>
        <w:bottom w:val="none" w:sz="0" w:space="0" w:color="auto"/>
        <w:right w:val="none" w:sz="0" w:space="0" w:color="auto"/>
      </w:divBdr>
    </w:div>
    <w:div w:id="247037224">
      <w:bodyDiv w:val="1"/>
      <w:marLeft w:val="0"/>
      <w:marRight w:val="0"/>
      <w:marTop w:val="0"/>
      <w:marBottom w:val="0"/>
      <w:divBdr>
        <w:top w:val="none" w:sz="0" w:space="0" w:color="auto"/>
        <w:left w:val="none" w:sz="0" w:space="0" w:color="auto"/>
        <w:bottom w:val="none" w:sz="0" w:space="0" w:color="auto"/>
        <w:right w:val="none" w:sz="0" w:space="0" w:color="auto"/>
      </w:divBdr>
    </w:div>
    <w:div w:id="309944366">
      <w:bodyDiv w:val="1"/>
      <w:marLeft w:val="0"/>
      <w:marRight w:val="0"/>
      <w:marTop w:val="0"/>
      <w:marBottom w:val="0"/>
      <w:divBdr>
        <w:top w:val="none" w:sz="0" w:space="0" w:color="auto"/>
        <w:left w:val="none" w:sz="0" w:space="0" w:color="auto"/>
        <w:bottom w:val="none" w:sz="0" w:space="0" w:color="auto"/>
        <w:right w:val="none" w:sz="0" w:space="0" w:color="auto"/>
      </w:divBdr>
    </w:div>
    <w:div w:id="686717883">
      <w:bodyDiv w:val="1"/>
      <w:marLeft w:val="0"/>
      <w:marRight w:val="0"/>
      <w:marTop w:val="0"/>
      <w:marBottom w:val="0"/>
      <w:divBdr>
        <w:top w:val="none" w:sz="0" w:space="0" w:color="auto"/>
        <w:left w:val="none" w:sz="0" w:space="0" w:color="auto"/>
        <w:bottom w:val="none" w:sz="0" w:space="0" w:color="auto"/>
        <w:right w:val="none" w:sz="0" w:space="0" w:color="auto"/>
      </w:divBdr>
    </w:div>
    <w:div w:id="716900701">
      <w:bodyDiv w:val="1"/>
      <w:marLeft w:val="0"/>
      <w:marRight w:val="0"/>
      <w:marTop w:val="0"/>
      <w:marBottom w:val="0"/>
      <w:divBdr>
        <w:top w:val="none" w:sz="0" w:space="0" w:color="auto"/>
        <w:left w:val="none" w:sz="0" w:space="0" w:color="auto"/>
        <w:bottom w:val="none" w:sz="0" w:space="0" w:color="auto"/>
        <w:right w:val="none" w:sz="0" w:space="0" w:color="auto"/>
      </w:divBdr>
    </w:div>
    <w:div w:id="819887035">
      <w:bodyDiv w:val="1"/>
      <w:marLeft w:val="0"/>
      <w:marRight w:val="0"/>
      <w:marTop w:val="0"/>
      <w:marBottom w:val="0"/>
      <w:divBdr>
        <w:top w:val="none" w:sz="0" w:space="0" w:color="auto"/>
        <w:left w:val="none" w:sz="0" w:space="0" w:color="auto"/>
        <w:bottom w:val="none" w:sz="0" w:space="0" w:color="auto"/>
        <w:right w:val="none" w:sz="0" w:space="0" w:color="auto"/>
      </w:divBdr>
    </w:div>
    <w:div w:id="954406714">
      <w:bodyDiv w:val="1"/>
      <w:marLeft w:val="0"/>
      <w:marRight w:val="0"/>
      <w:marTop w:val="0"/>
      <w:marBottom w:val="0"/>
      <w:divBdr>
        <w:top w:val="none" w:sz="0" w:space="0" w:color="auto"/>
        <w:left w:val="none" w:sz="0" w:space="0" w:color="auto"/>
        <w:bottom w:val="none" w:sz="0" w:space="0" w:color="auto"/>
        <w:right w:val="none" w:sz="0" w:space="0" w:color="auto"/>
      </w:divBdr>
    </w:div>
    <w:div w:id="1303004735">
      <w:bodyDiv w:val="1"/>
      <w:marLeft w:val="0"/>
      <w:marRight w:val="0"/>
      <w:marTop w:val="0"/>
      <w:marBottom w:val="0"/>
      <w:divBdr>
        <w:top w:val="none" w:sz="0" w:space="0" w:color="auto"/>
        <w:left w:val="none" w:sz="0" w:space="0" w:color="auto"/>
        <w:bottom w:val="none" w:sz="0" w:space="0" w:color="auto"/>
        <w:right w:val="none" w:sz="0" w:space="0" w:color="auto"/>
      </w:divBdr>
    </w:div>
    <w:div w:id="1372539216">
      <w:bodyDiv w:val="1"/>
      <w:marLeft w:val="0"/>
      <w:marRight w:val="0"/>
      <w:marTop w:val="0"/>
      <w:marBottom w:val="0"/>
      <w:divBdr>
        <w:top w:val="none" w:sz="0" w:space="0" w:color="auto"/>
        <w:left w:val="none" w:sz="0" w:space="0" w:color="auto"/>
        <w:bottom w:val="none" w:sz="0" w:space="0" w:color="auto"/>
        <w:right w:val="none" w:sz="0" w:space="0" w:color="auto"/>
      </w:divBdr>
    </w:div>
    <w:div w:id="1433283830">
      <w:bodyDiv w:val="1"/>
      <w:marLeft w:val="0"/>
      <w:marRight w:val="0"/>
      <w:marTop w:val="0"/>
      <w:marBottom w:val="0"/>
      <w:divBdr>
        <w:top w:val="none" w:sz="0" w:space="0" w:color="auto"/>
        <w:left w:val="none" w:sz="0" w:space="0" w:color="auto"/>
        <w:bottom w:val="none" w:sz="0" w:space="0" w:color="auto"/>
        <w:right w:val="none" w:sz="0" w:space="0" w:color="auto"/>
      </w:divBdr>
    </w:div>
    <w:div w:id="1452741626">
      <w:bodyDiv w:val="1"/>
      <w:marLeft w:val="0"/>
      <w:marRight w:val="0"/>
      <w:marTop w:val="0"/>
      <w:marBottom w:val="0"/>
      <w:divBdr>
        <w:top w:val="none" w:sz="0" w:space="0" w:color="auto"/>
        <w:left w:val="none" w:sz="0" w:space="0" w:color="auto"/>
        <w:bottom w:val="none" w:sz="0" w:space="0" w:color="auto"/>
        <w:right w:val="none" w:sz="0" w:space="0" w:color="auto"/>
      </w:divBdr>
    </w:div>
    <w:div w:id="1468208334">
      <w:bodyDiv w:val="1"/>
      <w:marLeft w:val="0"/>
      <w:marRight w:val="0"/>
      <w:marTop w:val="0"/>
      <w:marBottom w:val="0"/>
      <w:divBdr>
        <w:top w:val="none" w:sz="0" w:space="0" w:color="auto"/>
        <w:left w:val="none" w:sz="0" w:space="0" w:color="auto"/>
        <w:bottom w:val="none" w:sz="0" w:space="0" w:color="auto"/>
        <w:right w:val="none" w:sz="0" w:space="0" w:color="auto"/>
      </w:divBdr>
    </w:div>
    <w:div w:id="1477183089">
      <w:bodyDiv w:val="1"/>
      <w:marLeft w:val="0"/>
      <w:marRight w:val="0"/>
      <w:marTop w:val="0"/>
      <w:marBottom w:val="0"/>
      <w:divBdr>
        <w:top w:val="none" w:sz="0" w:space="0" w:color="auto"/>
        <w:left w:val="none" w:sz="0" w:space="0" w:color="auto"/>
        <w:bottom w:val="none" w:sz="0" w:space="0" w:color="auto"/>
        <w:right w:val="none" w:sz="0" w:space="0" w:color="auto"/>
      </w:divBdr>
    </w:div>
    <w:div w:id="1540825865">
      <w:bodyDiv w:val="1"/>
      <w:marLeft w:val="0"/>
      <w:marRight w:val="0"/>
      <w:marTop w:val="0"/>
      <w:marBottom w:val="0"/>
      <w:divBdr>
        <w:top w:val="none" w:sz="0" w:space="0" w:color="auto"/>
        <w:left w:val="none" w:sz="0" w:space="0" w:color="auto"/>
        <w:bottom w:val="none" w:sz="0" w:space="0" w:color="auto"/>
        <w:right w:val="none" w:sz="0" w:space="0" w:color="auto"/>
      </w:divBdr>
    </w:div>
    <w:div w:id="1570463090">
      <w:bodyDiv w:val="1"/>
      <w:marLeft w:val="0"/>
      <w:marRight w:val="0"/>
      <w:marTop w:val="0"/>
      <w:marBottom w:val="0"/>
      <w:divBdr>
        <w:top w:val="none" w:sz="0" w:space="0" w:color="auto"/>
        <w:left w:val="none" w:sz="0" w:space="0" w:color="auto"/>
        <w:bottom w:val="none" w:sz="0" w:space="0" w:color="auto"/>
        <w:right w:val="none" w:sz="0" w:space="0" w:color="auto"/>
      </w:divBdr>
    </w:div>
    <w:div w:id="1598098802">
      <w:bodyDiv w:val="1"/>
      <w:marLeft w:val="0"/>
      <w:marRight w:val="0"/>
      <w:marTop w:val="0"/>
      <w:marBottom w:val="0"/>
      <w:divBdr>
        <w:top w:val="none" w:sz="0" w:space="0" w:color="auto"/>
        <w:left w:val="none" w:sz="0" w:space="0" w:color="auto"/>
        <w:bottom w:val="none" w:sz="0" w:space="0" w:color="auto"/>
        <w:right w:val="none" w:sz="0" w:space="0" w:color="auto"/>
      </w:divBdr>
    </w:div>
    <w:div w:id="1787121480">
      <w:bodyDiv w:val="1"/>
      <w:marLeft w:val="0"/>
      <w:marRight w:val="0"/>
      <w:marTop w:val="0"/>
      <w:marBottom w:val="0"/>
      <w:divBdr>
        <w:top w:val="none" w:sz="0" w:space="0" w:color="auto"/>
        <w:left w:val="none" w:sz="0" w:space="0" w:color="auto"/>
        <w:bottom w:val="none" w:sz="0" w:space="0" w:color="auto"/>
        <w:right w:val="none" w:sz="0" w:space="0" w:color="auto"/>
      </w:divBdr>
    </w:div>
    <w:div w:id="1837957262">
      <w:bodyDiv w:val="1"/>
      <w:marLeft w:val="0"/>
      <w:marRight w:val="0"/>
      <w:marTop w:val="0"/>
      <w:marBottom w:val="0"/>
      <w:divBdr>
        <w:top w:val="none" w:sz="0" w:space="0" w:color="auto"/>
        <w:left w:val="none" w:sz="0" w:space="0" w:color="auto"/>
        <w:bottom w:val="none" w:sz="0" w:space="0" w:color="auto"/>
        <w:right w:val="none" w:sz="0" w:space="0" w:color="auto"/>
      </w:divBdr>
    </w:div>
    <w:div w:id="1911890857">
      <w:bodyDiv w:val="1"/>
      <w:marLeft w:val="0"/>
      <w:marRight w:val="0"/>
      <w:marTop w:val="0"/>
      <w:marBottom w:val="0"/>
      <w:divBdr>
        <w:top w:val="none" w:sz="0" w:space="0" w:color="auto"/>
        <w:left w:val="none" w:sz="0" w:space="0" w:color="auto"/>
        <w:bottom w:val="none" w:sz="0" w:space="0" w:color="auto"/>
        <w:right w:val="none" w:sz="0" w:space="0" w:color="auto"/>
      </w:divBdr>
    </w:div>
    <w:div w:id="1957131416">
      <w:bodyDiv w:val="1"/>
      <w:marLeft w:val="0"/>
      <w:marRight w:val="0"/>
      <w:marTop w:val="0"/>
      <w:marBottom w:val="0"/>
      <w:divBdr>
        <w:top w:val="none" w:sz="0" w:space="0" w:color="auto"/>
        <w:left w:val="none" w:sz="0" w:space="0" w:color="auto"/>
        <w:bottom w:val="none" w:sz="0" w:space="0" w:color="auto"/>
        <w:right w:val="none" w:sz="0" w:space="0" w:color="auto"/>
      </w:divBdr>
    </w:div>
    <w:div w:id="199617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yperlink" Target="mailto:Smedylla@gmail.co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hyperlink" Target="mailto:nnleno@unicef.org"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5.xml"/><Relationship Id="rId38" Type="http://schemas.openxmlformats.org/officeDocument/2006/relationships/hyperlink" Target="mailto:dabo.gnara@gmai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yperlink" Target="mailto:luzitu@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footer" Target="footer4.xml"/><Relationship Id="rId37" Type="http://schemas.openxmlformats.org/officeDocument/2006/relationships/header" Target="header4.xml"/><Relationship Id="rId40" Type="http://schemas.openxmlformats.org/officeDocument/2006/relationships/hyperlink" Target="mailto:camarafatoumatacamus@gmail.com" TargetMode="External"/><Relationship Id="rId45" Type="http://schemas.openxmlformats.org/officeDocument/2006/relationships/hyperlink" Target="mailto:kandem@who.int"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3.xml"/><Relationship Id="rId44" Type="http://schemas.openxmlformats.org/officeDocument/2006/relationships/hyperlink" Target="mailto:vsarr@unicef.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eader" Target="header3.xml"/><Relationship Id="rId43" Type="http://schemas.openxmlformats.org/officeDocument/2006/relationships/hyperlink" Target="mailto:ialofa@unicef.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7AD9B-52E3-4DED-B07C-6D710D9C3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31894</Words>
  <Characters>175420</Characters>
  <Application>Microsoft Office Word</Application>
  <DocSecurity>0</DocSecurity>
  <Lines>1461</Lines>
  <Paragraphs>413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GIZ GmbH</Company>
  <LinksUpToDate>false</LinksUpToDate>
  <CharactersWithSpaces>206901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DAYE</dc:creator>
  <cp:lastModifiedBy>Dr HELENE</cp:lastModifiedBy>
  <cp:revision>8</cp:revision>
  <cp:lastPrinted>2017-08-07T14:31:00Z</cp:lastPrinted>
  <dcterms:created xsi:type="dcterms:W3CDTF">2019-07-16T17:03:00Z</dcterms:created>
  <dcterms:modified xsi:type="dcterms:W3CDTF">2019-10-22T11:40:00Z</dcterms:modified>
</cp:coreProperties>
</file>